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27C" w:rsidRPr="00ED5D53" w:rsidRDefault="00AD427C" w:rsidP="00DF711F">
      <w:pPr>
        <w:pStyle w:val="Textoindependiente"/>
        <w:kinsoku w:val="0"/>
        <w:overflowPunct w:val="0"/>
        <w:spacing w:before="11"/>
        <w:ind w:firstLine="0"/>
        <w:jc w:val="center"/>
        <w:rPr>
          <w:rFonts w:ascii="Arial" w:eastAsiaTheme="minorHAnsi" w:hAnsi="Arial" w:cs="Arial"/>
          <w:b/>
          <w:bCs/>
          <w:sz w:val="20"/>
          <w:szCs w:val="20"/>
          <w:lang w:eastAsia="en-US"/>
        </w:rPr>
      </w:pPr>
      <w:r w:rsidRPr="00ED5D53">
        <w:rPr>
          <w:rFonts w:ascii="Arial" w:eastAsiaTheme="minorHAnsi" w:hAnsi="Arial" w:cs="Arial"/>
          <w:b/>
          <w:bCs/>
          <w:sz w:val="20"/>
          <w:szCs w:val="20"/>
          <w:lang w:eastAsia="en-US"/>
        </w:rPr>
        <w:t>LA VIOLENCIA FAMILIAR Y SU INCIDENCIA EN EL DELITO DE FEMINICIDIO</w:t>
      </w:r>
    </w:p>
    <w:p w:rsidR="00CF325A" w:rsidRPr="00ED5D53" w:rsidRDefault="00AD427C" w:rsidP="00AD427C">
      <w:pPr>
        <w:pStyle w:val="Textoindependiente"/>
        <w:kinsoku w:val="0"/>
        <w:overflowPunct w:val="0"/>
        <w:spacing w:before="11"/>
        <w:ind w:firstLine="0"/>
        <w:jc w:val="center"/>
        <w:rPr>
          <w:rFonts w:ascii="Arial" w:eastAsiaTheme="minorHAnsi" w:hAnsi="Arial" w:cs="Arial"/>
          <w:sz w:val="20"/>
          <w:szCs w:val="20"/>
          <w:lang w:val="en-US" w:eastAsia="en-US"/>
        </w:rPr>
      </w:pPr>
      <w:r w:rsidRPr="00ED5D53">
        <w:rPr>
          <w:rFonts w:ascii="Arial" w:eastAsiaTheme="minorHAnsi" w:hAnsi="Arial" w:cs="Arial"/>
          <w:sz w:val="20"/>
          <w:szCs w:val="20"/>
          <w:lang w:val="en-US" w:eastAsia="en-US"/>
        </w:rPr>
        <w:t>Family violence and its impact on the crime of feminicide</w:t>
      </w:r>
    </w:p>
    <w:p w:rsidR="00AD427C" w:rsidRPr="00ED5D53" w:rsidRDefault="00E60FC0" w:rsidP="00350A45">
      <w:pPr>
        <w:tabs>
          <w:tab w:val="left" w:pos="0"/>
        </w:tabs>
        <w:spacing w:line="240" w:lineRule="auto"/>
        <w:ind w:firstLine="0"/>
        <w:jc w:val="center"/>
        <w:rPr>
          <w:rFonts w:ascii="Arial" w:eastAsia="Calibri" w:hAnsi="Arial" w:cs="Arial"/>
          <w:bCs/>
          <w:color w:val="000000"/>
          <w:sz w:val="20"/>
          <w:szCs w:val="20"/>
        </w:rPr>
      </w:pPr>
      <w:r w:rsidRPr="00ED5D53">
        <w:rPr>
          <w:rFonts w:ascii="Arial" w:hAnsi="Arial" w:cs="Arial"/>
          <w:noProof/>
          <w:sz w:val="20"/>
          <w:szCs w:val="20"/>
          <w:lang w:eastAsia="es-PE"/>
        </w:rPr>
        <w:pict>
          <v:line id="Conector recto 1" o:spid="_x0000_s1026" style="position:absolute;left:0;text-align:left;flip:y;z-index:251659264;visibility:visible;mso-position-horizontal-relative:margin;mso-width-relative:margin;mso-height-relative:margin" from="1.9pt,16.9pt" to="431.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xF0wEAAI8DAAAOAAAAZHJzL2Uyb0RvYy54bWysU02PGjEMvVfa/xDlvgygpaARwx5A20vV&#10;InXbuzeTMJHyJTtl4N/XCSyi7a0qh5DE8bPf85v188k7cdRINoZOziZTKXRQsbfh0Mnvry+PKyko&#10;Q+jBxaA7edYknzcPH9ZjavU8DtH1GgWDBGrH1Mkh59Q2DalBe6BJTDpw0ET0kPmIh6ZHGBndu2Y+&#10;nX5sxoh9wqg0Ed/uLkG5qfjGaJW/GkM6C9dJ7i3XFev6VtZms4b2gJAGq65twD904cEGLnqD2kEG&#10;8RPtX1DeKowUTZ6o6JtojFW6cmA2s+kfbL4NkHTlwuJQuslE/w9WfTnuUdieZydFAM8j2vKgVI4o&#10;sPyJWdFoTNTy023Y4/VEaY+F8MmgF8bZ9KNAlBsmJU5V4fNNYX3KQvHl4mkxXS6fpFDvseYCURIT&#10;Uv6koxdl00lnQyEPLRw/U+ay/PT9SbkO8cU6Vwfoghg7OV8tlguGBvaRcZB56xMzo3CQAtyBDaoy&#10;VkiKzvYlvQDRmbYOxRHYI2ytPo6v3K8UDihzgEnUX9GBW/gttfSzAxouyTV0sZS3mX3trO/k6j7b&#10;hVJRV2deWRVtL2qW3Vvsz1Xkppx46rXo1aHFVvdn3t9/R5tfAAAA//8DAFBLAwQUAAYACAAAACEA&#10;yQ9wWNwAAAAHAQAADwAAAGRycy9kb3ducmV2LnhtbEyOQU/DMAyF70j7D5EncWMpBU1TaTqhMQ4c&#10;kGAMwTFLvLYjcUqTbeXf44kDOz3Zz37vK+eDd+KAfWwDKbieZCCQTLAt1QrWb49XMxAxabLaBUIF&#10;PxhhXo0uSl3YcKRXPKxSLTiEYqEVNCl1hZTRNOh1nIQOib1t6L1OPPa1tL0+crh3Ms+yqfS6JW5o&#10;dIeLBs3Xau8ZY1h+05P5uF1ud4vn7OV992ncg1KX4+H+DkTCIf0fwwmff6Bipk3Yk43CKbhh8MRy&#10;UrZn0zwHsflbyKqU5/zVLwAAAP//AwBQSwECLQAUAAYACAAAACEAtoM4kv4AAADhAQAAEwAAAAAA&#10;AAAAAAAAAAAAAAAAW0NvbnRlbnRfVHlwZXNdLnhtbFBLAQItABQABgAIAAAAIQA4/SH/1gAAAJQB&#10;AAALAAAAAAAAAAAAAAAAAC8BAABfcmVscy8ucmVsc1BLAQItABQABgAIAAAAIQBnQyxF0wEAAI8D&#10;AAAOAAAAAAAAAAAAAAAAAC4CAABkcnMvZTJvRG9jLnhtbFBLAQItABQABgAIAAAAIQDJD3BY3AAA&#10;AAcBAAAPAAAAAAAAAAAAAAAAAC0EAABkcnMvZG93bnJldi54bWxQSwUGAAAAAAQABADzAAAANgUA&#10;AAAA&#10;" strokecolor="windowText" strokeweight="2.25pt">
            <v:stroke joinstyle="miter"/>
            <w10:wrap anchorx="margin"/>
          </v:line>
        </w:pict>
      </w:r>
      <w:r w:rsidR="00AD427C" w:rsidRPr="00ED5D53">
        <w:rPr>
          <w:rFonts w:ascii="Arial" w:eastAsia="Calibri" w:hAnsi="Arial" w:cs="Arial"/>
          <w:bCs/>
          <w:color w:val="000000"/>
          <w:sz w:val="20"/>
          <w:szCs w:val="20"/>
        </w:rPr>
        <w:t>Gomero Vega Victoriano Julián</w:t>
      </w:r>
    </w:p>
    <w:p w:rsidR="0017421D" w:rsidRPr="00ED5D53" w:rsidRDefault="00CF325A" w:rsidP="00350A45">
      <w:pPr>
        <w:spacing w:line="240" w:lineRule="auto"/>
        <w:rPr>
          <w:rFonts w:ascii="Arial" w:hAnsi="Arial" w:cs="Arial"/>
          <w:b/>
          <w:bCs/>
          <w:sz w:val="20"/>
          <w:szCs w:val="20"/>
        </w:rPr>
      </w:pPr>
      <w:r w:rsidRPr="00ED5D53">
        <w:rPr>
          <w:rFonts w:ascii="Arial" w:eastAsia="Times New Roman" w:hAnsi="Arial" w:cs="Arial"/>
          <w:sz w:val="20"/>
          <w:szCs w:val="20"/>
          <w:lang w:eastAsia="es-PE"/>
        </w:rPr>
        <w:t xml:space="preserve">         </w:t>
      </w:r>
    </w:p>
    <w:p w:rsidR="0017421D" w:rsidRPr="00ED5D53" w:rsidRDefault="0017421D" w:rsidP="00350A45">
      <w:pPr>
        <w:pStyle w:val="Sinespaciado"/>
        <w:jc w:val="both"/>
        <w:rPr>
          <w:rFonts w:ascii="Arial" w:hAnsi="Arial" w:cs="Arial"/>
          <w:b/>
          <w:bCs/>
          <w:sz w:val="20"/>
          <w:szCs w:val="20"/>
        </w:rPr>
      </w:pPr>
      <w:r w:rsidRPr="00ED5D53">
        <w:rPr>
          <w:rFonts w:ascii="Arial" w:hAnsi="Arial" w:cs="Arial"/>
          <w:b/>
          <w:bCs/>
          <w:sz w:val="20"/>
          <w:szCs w:val="20"/>
        </w:rPr>
        <w:t>RESUMEN</w:t>
      </w:r>
    </w:p>
    <w:p w:rsidR="00C80B80" w:rsidRPr="00ED5D53" w:rsidRDefault="00C80B80" w:rsidP="00C80B80">
      <w:pPr>
        <w:pStyle w:val="Sinespaciado"/>
        <w:jc w:val="both"/>
        <w:rPr>
          <w:rFonts w:ascii="Arial" w:hAnsi="Arial" w:cs="Arial"/>
          <w:sz w:val="20"/>
          <w:szCs w:val="20"/>
        </w:rPr>
      </w:pPr>
      <w:r w:rsidRPr="00ED5D53">
        <w:rPr>
          <w:rFonts w:ascii="Arial" w:hAnsi="Arial" w:cs="Arial"/>
          <w:sz w:val="20"/>
          <w:szCs w:val="20"/>
        </w:rPr>
        <w:t xml:space="preserve">Objetivo: Determinar de qué manera la violencia familiar incide significativamente en el delito de feminicidio en el distrito de San juan de Lurigancho Método: es aplicada, por lo que se espera alcanzar que los resultados sirvan de referencia a los titulares de la administración de justicia, y que estos sirvan como instrumentos en las decisiones judiciales, el diseño no experimental, La Población estuvo constituido por los jueces de familia, jueces penales y fiscalías sobre violencia familiar, abogados en ejercicio y personal especializado del Poder Judicial. </w:t>
      </w:r>
      <w:proofErr w:type="gramStart"/>
      <w:r w:rsidRPr="00ED5D53">
        <w:rPr>
          <w:rFonts w:ascii="Arial" w:hAnsi="Arial" w:cs="Arial"/>
          <w:sz w:val="20"/>
          <w:szCs w:val="20"/>
        </w:rPr>
        <w:t>dé</w:t>
      </w:r>
      <w:proofErr w:type="gramEnd"/>
      <w:r w:rsidRPr="00ED5D53">
        <w:rPr>
          <w:rFonts w:ascii="Arial" w:hAnsi="Arial" w:cs="Arial"/>
          <w:sz w:val="20"/>
          <w:szCs w:val="20"/>
        </w:rPr>
        <w:t xml:space="preserve"> la Corte Superior de Lima Este, Tamaño de muestra: 163 es el número de profesionales a quienes se le tomará la encuesta. El instrumento aplicado fue las encuestas, entrevistas. Resultados: Los resultados de la investigación pretenden identificar si la violencia familiar incide significativamente en la comisión del delito de feminicidio, verificar si la normatividad aplicable está dando resultados positivos, es decir si se está disminuyendo los casos de violencia familiar o muy por el contrario se viene incrementando. Se pretende también significar y constituir al acervo teórico y validar las acciones de prevención que eviten su consumación. Conclusiones: es necesario determinar como la violencia familiar conlleva a la comisión del feminicidio, en consecuencia, no basta la normatividad legal para disminuir el delito de feminicidio si no se resuelve su origen en la violencia familiar.</w:t>
      </w:r>
    </w:p>
    <w:p w:rsidR="00535919" w:rsidRPr="00ED5D53" w:rsidRDefault="00E60FC0" w:rsidP="00C80B80">
      <w:pPr>
        <w:rPr>
          <w:rFonts w:ascii="Arial" w:hAnsi="Arial" w:cs="Arial"/>
          <w:b/>
          <w:bCs/>
          <w:sz w:val="20"/>
          <w:szCs w:val="20"/>
        </w:rPr>
      </w:pPr>
      <w:r w:rsidRPr="00ED5D53">
        <w:rPr>
          <w:rFonts w:ascii="Arial" w:hAnsi="Arial" w:cs="Arial"/>
          <w:noProof/>
          <w:sz w:val="20"/>
          <w:szCs w:val="20"/>
          <w:lang w:eastAsia="es-PE"/>
        </w:rPr>
        <w:pict>
          <v:line id="Conector recto 2" o:spid="_x0000_s1028" style="position:absolute;left:0;text-align:left;flip:y;z-index:251660288;visibility:visible;mso-position-horizontal-relative:margin;mso-width-relative:margin;mso-height-relative:margin" from="-2.45pt,38.15pt" to="427.7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jNf1gEAAJMDAAAOAAAAZHJzL2Uyb0RvYy54bWysU02PEzEMvSPxH6Lc6XQH2q1Gne6h1XJB&#10;UImFuzeTdCLlS3botP8eJy1VgRtiDhk7tt/4PXvWTyfvxFEj2Rh6+TCbS6GDioMNh15+e3l+t5KC&#10;MoQBXAy6l2dN8mnz9s16Sp1u4xjdoFEwSKBuSr0cc05d05AatQeaxaQDB01ED5ldPDQDwsTo3jXt&#10;fL5spohDwqg0Ed/uLkG5qfjGaJW/GEM6C9dL7i3XE+v5Ws5ms4bugJBGq65twD904cEG/ugNagcZ&#10;xA+0f0F5qzBSNHmmom+iMVbpyoHZPMz/YPN1hKQrFxaH0k0m+n+w6vNxj8IOvWylCOB5RFselMoR&#10;BZaXaItGU6KOU7dhj1eP0h4L4ZNBL4yz6TuPv0rApMSpKny+KaxPWSi+XHxYtssFD0JxrH3/yCbj&#10;NReYApeQ8kcdvShGL50NRQDo4PiJ8iX1V0q5DvHZOsf30LkgJsZcLR4XDA+8S8ZBZtMnZkfhIAW4&#10;Ay+pylghKTo7lPJSTWfaOhRH4D3h9Rri9MI9S+GAMgeYSH2u3f5WWvrZAY2X4hoqadB5m3m3nfW9&#10;XN1Xu1Cium7nlVXR96JosV7jcK5CN8XjyVeJrltaVuveZ/v+X9r8BAAA//8DAFBLAwQUAAYACAAA&#10;ACEAsWohVeAAAAAIAQAADwAAAGRycy9kb3ducmV2LnhtbEyPQU/DMAyF70j8h8hI3LYE6MYoTSc0&#10;xoHDJBggOGaJ13Y0Tmmyrfx7zAlutt7z8/eK+eBbccA+NoE0XIwVCCQbXEOVhteXh9EMREyGnGkD&#10;oYZvjDAvT08Kk7twpGc8rFMlOIRibjTUKXW5lNHW6E0chw6JtW3ovUm89pV0vTlyuG/lpVJT6U1D&#10;/KE2HS5qtJ/rvWeMYflFj/Y9W253i5V6ett92PZe6/Oz4e4WRMIh/ZnhF59voGSmTdiTi6LVMMpu&#10;2KnhenoFgvXZZJKB2PCgFMiykP8LlD8AAAD//wMAUEsBAi0AFAAGAAgAAAAhALaDOJL+AAAA4QEA&#10;ABMAAAAAAAAAAAAAAAAAAAAAAFtDb250ZW50X1R5cGVzXS54bWxQSwECLQAUAAYACAAAACEAOP0h&#10;/9YAAACUAQAACwAAAAAAAAAAAAAAAAAvAQAAX3JlbHMvLnJlbHNQSwECLQAUAAYACAAAACEAwHYz&#10;X9YBAACTAwAADgAAAAAAAAAAAAAAAAAuAgAAZHJzL2Uyb0RvYy54bWxQSwECLQAUAAYACAAAACEA&#10;sWohVeAAAAAIAQAADwAAAAAAAAAAAAAAAAAwBAAAZHJzL2Rvd25yZXYueG1sUEsFBgAAAAAEAAQA&#10;8wAAAD0FAAAAAA==&#10;" strokecolor="windowText" strokeweight="2.25pt">
            <v:stroke joinstyle="miter"/>
            <w10:wrap anchorx="margin"/>
          </v:line>
        </w:pict>
      </w:r>
      <w:r w:rsidR="00C80B80" w:rsidRPr="00ED5D53">
        <w:rPr>
          <w:rFonts w:ascii="Arial" w:hAnsi="Arial" w:cs="Arial"/>
          <w:sz w:val="20"/>
          <w:szCs w:val="20"/>
        </w:rPr>
        <w:t>Palabras claves: Violencia familiar, violencia contra la mujer, delito de feminicidio.</w:t>
      </w:r>
    </w:p>
    <w:p w:rsidR="00C80B80" w:rsidRPr="00ED5D53" w:rsidRDefault="00C80B80" w:rsidP="00C80B80">
      <w:pPr>
        <w:ind w:firstLine="0"/>
        <w:rPr>
          <w:rFonts w:ascii="Arial" w:hAnsi="Arial" w:cs="Arial"/>
          <w:b/>
          <w:bCs/>
          <w:sz w:val="20"/>
          <w:szCs w:val="20"/>
        </w:rPr>
      </w:pPr>
    </w:p>
    <w:p w:rsidR="0017421D" w:rsidRPr="00ED5D53" w:rsidRDefault="0017421D" w:rsidP="00C80B80">
      <w:pPr>
        <w:ind w:firstLine="0"/>
        <w:rPr>
          <w:rFonts w:ascii="Arial" w:hAnsi="Arial" w:cs="Arial"/>
          <w:b/>
          <w:bCs/>
          <w:sz w:val="20"/>
          <w:szCs w:val="20"/>
          <w:lang w:val="en-US"/>
        </w:rPr>
      </w:pPr>
      <w:r w:rsidRPr="00ED5D53">
        <w:rPr>
          <w:rFonts w:ascii="Arial" w:hAnsi="Arial" w:cs="Arial"/>
          <w:b/>
          <w:bCs/>
          <w:sz w:val="20"/>
          <w:szCs w:val="20"/>
          <w:lang w:val="en-US"/>
        </w:rPr>
        <w:t>ABSTRACT</w:t>
      </w:r>
    </w:p>
    <w:p w:rsidR="00C80B80" w:rsidRPr="00ED5D53" w:rsidRDefault="00C80B80" w:rsidP="00350A45">
      <w:pPr>
        <w:spacing w:line="240" w:lineRule="auto"/>
        <w:ind w:firstLine="0"/>
        <w:rPr>
          <w:rFonts w:ascii="Arial" w:hAnsi="Arial" w:cs="Arial"/>
          <w:sz w:val="20"/>
          <w:szCs w:val="20"/>
          <w:lang w:val="en-US"/>
        </w:rPr>
      </w:pPr>
      <w:r w:rsidRPr="00ED5D53">
        <w:rPr>
          <w:rFonts w:ascii="Arial" w:hAnsi="Arial" w:cs="Arial"/>
          <w:sz w:val="20"/>
          <w:szCs w:val="20"/>
          <w:lang w:val="en-US"/>
        </w:rPr>
        <w:t xml:space="preserve">Objective: To determine how family violence significantly affects the crime of femicide in the district of San Juan de </w:t>
      </w:r>
      <w:proofErr w:type="spellStart"/>
      <w:r w:rsidRPr="00ED5D53">
        <w:rPr>
          <w:rFonts w:ascii="Arial" w:hAnsi="Arial" w:cs="Arial"/>
          <w:sz w:val="20"/>
          <w:szCs w:val="20"/>
          <w:lang w:val="en-US"/>
        </w:rPr>
        <w:t>Lurigancho</w:t>
      </w:r>
      <w:proofErr w:type="spellEnd"/>
      <w:r w:rsidRPr="00ED5D53">
        <w:rPr>
          <w:rFonts w:ascii="Arial" w:hAnsi="Arial" w:cs="Arial"/>
          <w:sz w:val="20"/>
          <w:szCs w:val="20"/>
          <w:lang w:val="en-US"/>
        </w:rPr>
        <w:t xml:space="preserve"> Method: it is applied, so it is expected that the results will serve as a reference for the heads of the administration of justice, and that these serve as instruments in judicial decisions, the non-experimental design, La Población was made up of family judges, criminal judges and prosecutors on family violence, practicing lawyers and specialized personnel of the Judicial Power. Give the Superior Court of East Lima, Sample size: 163 is the number of professionals to whom the survey will be taken. The instrument applied was the surveys, interviews. Results: The results of the investigation intend to identify if family violence has a significant impact on the commission of the crime of femicide, to verify if the applicable regulations are giving positive results, that is, if the cases of family violence are being reduced or, on the contrary, is increasing. It is also intended to signify and constitute the theoretical heritage and validate the prevention actions that avoid its consummation. Conclusions: it is necessary to determine how family violence leads to the commission of </w:t>
      </w:r>
      <w:proofErr w:type="gramStart"/>
      <w:r w:rsidRPr="00ED5D53">
        <w:rPr>
          <w:rFonts w:ascii="Arial" w:hAnsi="Arial" w:cs="Arial"/>
          <w:sz w:val="20"/>
          <w:szCs w:val="20"/>
          <w:lang w:val="en-US"/>
        </w:rPr>
        <w:t>femicide,</w:t>
      </w:r>
      <w:proofErr w:type="gramEnd"/>
      <w:r w:rsidRPr="00ED5D53">
        <w:rPr>
          <w:rFonts w:ascii="Arial" w:hAnsi="Arial" w:cs="Arial"/>
          <w:sz w:val="20"/>
          <w:szCs w:val="20"/>
          <w:lang w:val="en-US"/>
        </w:rPr>
        <w:t xml:space="preserve"> consequently, legal regulations are not enough to reduce the crime of femicide if its origin in family violence is not resolved.</w:t>
      </w:r>
    </w:p>
    <w:p w:rsidR="00C80B80" w:rsidRPr="00ED5D53" w:rsidRDefault="00C80B80" w:rsidP="00350A45">
      <w:pPr>
        <w:spacing w:line="240" w:lineRule="auto"/>
        <w:rPr>
          <w:rFonts w:ascii="Arial" w:hAnsi="Arial" w:cs="Arial"/>
          <w:sz w:val="20"/>
          <w:szCs w:val="20"/>
          <w:lang w:val="en-US"/>
        </w:rPr>
      </w:pPr>
      <w:r w:rsidRPr="00ED5D53">
        <w:rPr>
          <w:rFonts w:ascii="Arial" w:hAnsi="Arial" w:cs="Arial"/>
          <w:sz w:val="20"/>
          <w:szCs w:val="20"/>
          <w:lang w:val="en-US"/>
        </w:rPr>
        <w:t>Keywords: Family violence, violence against women, femicide crime.</w:t>
      </w:r>
    </w:p>
    <w:p w:rsidR="00ED795C" w:rsidRPr="00ED5D53" w:rsidRDefault="00E60FC0" w:rsidP="00ED795C">
      <w:pPr>
        <w:rPr>
          <w:rFonts w:ascii="Arial" w:hAnsi="Arial" w:cs="Arial"/>
          <w:sz w:val="20"/>
          <w:szCs w:val="20"/>
          <w:lang w:val="en-US"/>
        </w:rPr>
        <w:sectPr w:rsidR="00ED795C" w:rsidRPr="00ED5D53" w:rsidSect="00665BE8">
          <w:headerReference w:type="default" r:id="rId8"/>
          <w:footerReference w:type="default" r:id="rId9"/>
          <w:pgSz w:w="11906" w:h="16838"/>
          <w:pgMar w:top="1258" w:right="1701" w:bottom="1417" w:left="1701" w:header="708" w:footer="708" w:gutter="0"/>
          <w:cols w:space="708"/>
          <w:docGrid w:linePitch="360"/>
        </w:sectPr>
      </w:pPr>
      <w:r w:rsidRPr="00ED5D53">
        <w:rPr>
          <w:rFonts w:ascii="Arial" w:hAnsi="Arial" w:cs="Arial"/>
          <w:noProof/>
          <w:sz w:val="20"/>
          <w:szCs w:val="20"/>
          <w:lang w:eastAsia="es-PE"/>
        </w:rPr>
        <w:pict>
          <v:line id="Conector recto 3" o:spid="_x0000_s1027" style="position:absolute;left:0;text-align:left;flip:y;z-index:251661312;visibility:visible;mso-position-horizontal-relative:margin;mso-width-relative:margin;mso-height-relative:margin" from="-3.05pt,6.3pt" to="427.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Hcn1QEAAJIDAAAOAAAAZHJzL2Uyb0RvYy54bWysU01v2zAMvQ/ofxB0X5wma1YYcXpI0F2G&#10;LcC63VlZsgXoC6QaJ/9+lJIF2XYb5oPMD/GZ75FePx29EweNZGPo5P1sLoUOKvY2DJ38/vL8/lEK&#10;yhB6cDHoTp40yafN3bv1lFq9iGN0vUbBIIHaKXVyzDm1TUNq1B5oFpMOnDQRPWR2cWh6hInRvWsW&#10;8/mqmSL2CaPSRBzdnZNyU/GN0Sp/NYZ0Fq6T3FuuJ9bztZzNZg3tgJBGqy5twD904cEG/ugVagcZ&#10;xBvav6C8VRgpmjxT0TfRGKt05cBs7ud/sPk2QtKVC4tD6SoT/T9Y9eWwR2H7Ti6lCOB5RFselMoR&#10;BZaXWBaNpkQtX92GPV48SnsshI8GvTDOph88/ioBkxLHqvDpqrA+ZqE4+PBhtVg98CAU5xbLj2wy&#10;XnOGKXAJKX/S0YtidNLZUASAFg6fKZ+v/rpSwiE+W+c4Dq0LYurkalnRgVfJOMj8IZ+YHIVBCnAD&#10;76jKWBEpOtuX6lJMJ9o6FAfgNeHt6uP0wi1L4YAyJ5hHfS7N/lZa2tkBjefimirXoPU282o76zv5&#10;eFvtQsnqupwXUkXes6DFeo39qercFI8HXxW6LGnZrFuf7dtfafMTAAD//wMAUEsDBBQABgAIAAAA&#10;IQAb7U153gAAAAgBAAAPAAAAZHJzL2Rvd25yZXYueG1sTI/BTsMwEETvSPyDtUjcWicBoirEqRAI&#10;9QYiUERv29gkEfY6ip025etZTnDcmdHsm3I9OysOZgy9JwXpMgFhqPG6p1bB2+vjYgUiRCSN1pNR&#10;cDIB1tX5WYmF9kd6MYc6toJLKBSooItxKKQMTWcchqUfDLH36UeHkc+xlXrEI5c7K7MkyaXDnvhD&#10;h4O570zzVU9Owe6p22xwN23n5/dT+v0hbd0/bJW6vJjvbkFEM8e/MPziMzpUzLT3E+kgrIJFnnKS&#10;9SwHwf7q5joDsWchvwJZlfL/gOoHAAD//wMAUEsBAi0AFAAGAAgAAAAhALaDOJL+AAAA4QEAABMA&#10;AAAAAAAAAAAAAAAAAAAAAFtDb250ZW50X1R5cGVzXS54bWxQSwECLQAUAAYACAAAACEAOP0h/9YA&#10;AACUAQAACwAAAAAAAAAAAAAAAAAvAQAAX3JlbHMvLnJlbHNQSwECLQAUAAYACAAAACEAvPR3J9UB&#10;AACSAwAADgAAAAAAAAAAAAAAAAAuAgAAZHJzL2Uyb0RvYy54bWxQSwECLQAUAAYACAAAACEAG+1N&#10;ed4AAAAIAQAADwAAAAAAAAAAAAAAAAAvBAAAZHJzL2Rvd25yZXYueG1sUEsFBgAAAAAEAAQA8wAA&#10;ADoFAAAAAA==&#10;" strokecolor="windowText" strokeweight=".5pt">
            <v:stroke joinstyle="miter"/>
            <w10:wrap anchorx="margin"/>
          </v:line>
        </w:pict>
      </w:r>
    </w:p>
    <w:p w:rsidR="0017421D" w:rsidRPr="00ED5D53" w:rsidRDefault="0017421D" w:rsidP="0017421D">
      <w:pPr>
        <w:pStyle w:val="Prrafodelista"/>
        <w:tabs>
          <w:tab w:val="left" w:pos="1047"/>
        </w:tabs>
        <w:rPr>
          <w:rFonts w:ascii="Arial" w:hAnsi="Arial" w:cs="Arial"/>
          <w:b/>
          <w:bCs/>
          <w:sz w:val="20"/>
          <w:szCs w:val="20"/>
          <w:lang w:val="en-US"/>
        </w:rPr>
      </w:pPr>
    </w:p>
    <w:p w:rsidR="0017421D" w:rsidRPr="00ED5D53" w:rsidRDefault="0017421D" w:rsidP="007063E9">
      <w:pPr>
        <w:pStyle w:val="Prrafodelista"/>
        <w:numPr>
          <w:ilvl w:val="0"/>
          <w:numId w:val="1"/>
        </w:numPr>
        <w:tabs>
          <w:tab w:val="left" w:pos="1047"/>
        </w:tabs>
        <w:ind w:left="284" w:hanging="284"/>
        <w:rPr>
          <w:rFonts w:ascii="Arial" w:hAnsi="Arial" w:cs="Arial"/>
          <w:b/>
          <w:bCs/>
          <w:sz w:val="20"/>
          <w:szCs w:val="20"/>
        </w:rPr>
      </w:pPr>
      <w:r w:rsidRPr="00ED5D53">
        <w:rPr>
          <w:rFonts w:ascii="Arial" w:hAnsi="Arial" w:cs="Arial"/>
          <w:b/>
          <w:bCs/>
          <w:sz w:val="20"/>
          <w:szCs w:val="20"/>
        </w:rPr>
        <w:t xml:space="preserve">INTRODUCCIÓN </w:t>
      </w:r>
    </w:p>
    <w:p w:rsidR="0078498A" w:rsidRPr="00ED5D53" w:rsidRDefault="0078498A" w:rsidP="0078498A">
      <w:pPr>
        <w:tabs>
          <w:tab w:val="left" w:pos="1047"/>
        </w:tabs>
        <w:rPr>
          <w:rFonts w:ascii="Arial" w:hAnsi="Arial" w:cs="Arial"/>
          <w:sz w:val="20"/>
          <w:szCs w:val="20"/>
        </w:rPr>
      </w:pPr>
      <w:r w:rsidRPr="00ED5D53">
        <w:rPr>
          <w:rFonts w:ascii="Arial" w:hAnsi="Arial" w:cs="Arial"/>
          <w:sz w:val="20"/>
          <w:szCs w:val="20"/>
        </w:rPr>
        <w:t>La violencia familiar contra las mujeres se ha convertido en un problema social que no se ha logrado erradicar, y en la actualidad no solo son maltratadas físicamente, sino que se están convirtiendo en víctimas del delito de feminicidio, lo que deja en evidencia la ineficacia de la normatividad que lo regula y del sistema de justicia que lo aplica.</w:t>
      </w:r>
    </w:p>
    <w:p w:rsidR="0088299C" w:rsidRPr="00ED5D53" w:rsidRDefault="0078498A" w:rsidP="0078498A">
      <w:pPr>
        <w:tabs>
          <w:tab w:val="left" w:pos="1047"/>
        </w:tabs>
        <w:rPr>
          <w:rFonts w:ascii="Arial" w:hAnsi="Arial" w:cs="Arial"/>
          <w:sz w:val="20"/>
          <w:szCs w:val="20"/>
        </w:rPr>
      </w:pPr>
      <w:r w:rsidRPr="00ED5D53">
        <w:rPr>
          <w:rFonts w:ascii="Arial" w:hAnsi="Arial" w:cs="Arial"/>
          <w:sz w:val="20"/>
          <w:szCs w:val="20"/>
        </w:rPr>
        <w:t>Los medios de comunicación constantemente dan cuenta del aumento sistemático de los casos de agresiones físicas contra la mujer, perpetrado por los hombres con quienes tienen o han mantenido una relación sentimental, sea como convivientes, pareja o   esposos; entendiéndose que los motivos suelen ser muchas veces el machismo, el alcoholismo, los celos entre otros. También es muy cierto que en muchos casos los hombres son víctimas de violencia familiar específicamente de violencia psicológica de parte de sus parejas, sin embargo, esto pasa desapercibido porque no llega a consumarse una agresión física que ponga en riesgo la vida de la pareja.</w:t>
      </w:r>
    </w:p>
    <w:p w:rsidR="0078498A" w:rsidRPr="00ED5D53" w:rsidRDefault="0078498A" w:rsidP="0078498A">
      <w:pPr>
        <w:tabs>
          <w:tab w:val="left" w:pos="1047"/>
        </w:tabs>
        <w:rPr>
          <w:rFonts w:ascii="Arial" w:hAnsi="Arial" w:cs="Arial"/>
          <w:sz w:val="20"/>
          <w:szCs w:val="20"/>
        </w:rPr>
      </w:pPr>
      <w:r w:rsidRPr="00ED5D53">
        <w:rPr>
          <w:rFonts w:ascii="Arial" w:hAnsi="Arial" w:cs="Arial"/>
          <w:sz w:val="20"/>
          <w:szCs w:val="20"/>
        </w:rPr>
        <w:t>Problema General</w:t>
      </w:r>
    </w:p>
    <w:p w:rsidR="0078498A" w:rsidRPr="00ED5D53" w:rsidRDefault="0078498A" w:rsidP="0078498A">
      <w:pPr>
        <w:tabs>
          <w:tab w:val="left" w:pos="1047"/>
        </w:tabs>
        <w:rPr>
          <w:rFonts w:ascii="Arial" w:hAnsi="Arial" w:cs="Arial"/>
          <w:sz w:val="20"/>
          <w:szCs w:val="20"/>
        </w:rPr>
      </w:pPr>
      <w:r w:rsidRPr="00ED5D53">
        <w:rPr>
          <w:rFonts w:ascii="Arial" w:hAnsi="Arial" w:cs="Arial"/>
          <w:sz w:val="20"/>
          <w:szCs w:val="20"/>
        </w:rPr>
        <w:t>¿De qué manera la violencia familiar incide significativamente en los casos de feminicidio en el distrito de San Juan de Lurigancho?</w:t>
      </w:r>
    </w:p>
    <w:p w:rsidR="0078498A" w:rsidRPr="00ED5D53" w:rsidRDefault="0078498A" w:rsidP="0078498A">
      <w:pPr>
        <w:tabs>
          <w:tab w:val="left" w:pos="1047"/>
        </w:tabs>
        <w:rPr>
          <w:rFonts w:ascii="Arial" w:hAnsi="Arial" w:cs="Arial"/>
          <w:sz w:val="20"/>
          <w:szCs w:val="20"/>
        </w:rPr>
      </w:pPr>
      <w:r w:rsidRPr="00ED5D53">
        <w:rPr>
          <w:rFonts w:ascii="Arial" w:hAnsi="Arial" w:cs="Arial"/>
          <w:sz w:val="20"/>
          <w:szCs w:val="20"/>
        </w:rPr>
        <w:t>Quiñones (2021), en su tesis titulada “Índice de feminicidios en el Perú, políticas de prevención de la violencia de género y contexto de la violencia familiar en la provincia de sandía – 2019”. Su objetivo, determinar el índice de feminicidios en el Perú en los últimos 11 años, así como analizar las Políticas de Estado establecidas en los últimos años para prevenir la violencia de género y finalmente evaluar el contexto en que se produce la violencia familiar en la provincia antes señalada; y que luego de la investigación el autor concluye que el feminicidio ha ido incrementándose en los últimos diez años, señalando que las políticas establecidas por el gobierno, a fin de prevenir  la violencia familiar  y específicamente  la violencia de género no ha dado resultados óptimos, precisando que entre los años 2009 al 2019 se produjeron 3,272 casos de feminicidio entre otros datos estadísticos el cual hace mención el autor,  y que el endurecimiento  de las penas para el delito de feminicidio no ha servido para aminorar el problema, según lo esperado.</w:t>
      </w:r>
    </w:p>
    <w:p w:rsidR="0078498A" w:rsidRPr="00ED5D53" w:rsidRDefault="0078498A" w:rsidP="0078498A">
      <w:pPr>
        <w:tabs>
          <w:tab w:val="left" w:pos="1047"/>
        </w:tabs>
        <w:rPr>
          <w:rFonts w:ascii="Arial" w:hAnsi="Arial" w:cs="Arial"/>
          <w:sz w:val="20"/>
          <w:szCs w:val="20"/>
        </w:rPr>
      </w:pPr>
      <w:r w:rsidRPr="00ED5D53">
        <w:rPr>
          <w:rFonts w:ascii="Arial" w:hAnsi="Arial" w:cs="Arial"/>
          <w:sz w:val="20"/>
          <w:szCs w:val="20"/>
        </w:rPr>
        <w:t xml:space="preserve">Zeballos (2021), en su investigación titulada: “La </w:t>
      </w:r>
      <w:proofErr w:type="spellStart"/>
      <w:r w:rsidRPr="00ED5D53">
        <w:rPr>
          <w:rFonts w:ascii="Arial" w:hAnsi="Arial" w:cs="Arial"/>
          <w:sz w:val="20"/>
          <w:szCs w:val="20"/>
        </w:rPr>
        <w:t>Sobrecriminalización</w:t>
      </w:r>
      <w:proofErr w:type="spellEnd"/>
      <w:r w:rsidRPr="00ED5D53">
        <w:rPr>
          <w:rFonts w:ascii="Arial" w:hAnsi="Arial" w:cs="Arial"/>
          <w:sz w:val="20"/>
          <w:szCs w:val="20"/>
        </w:rPr>
        <w:t xml:space="preserve"> y el incremento de la violencia contra las mujeres en el Perú en el año 2017”, de la Universidad Andina Néstor Cáceres Velásquez. tuvo como objetivo, determinar, es decir el erradicar  el problema de la violencia que afrontan las mujeres en nuestro medio, el estado peruano y sus autoridades, entre otros objetivos inherentes a la problemática que se investiga,  y que luego de la investigación realizada por el autor, concluye  que no basta, imponer  leyes agresivas o agravadas, sino por el contrario refiere plantear políticas públicas de largo aliento, así como enfocar  la realidad de nuestra sociedad y a partir de ello, establecer cambios orientados a la educación desde la escuela.  Es menester señalar al respecto, que todas las tendencias o teorías investigativas, concluyen y coinciden en lo mismo, lo cual hace entrever que la violencia familiar es un problema social, y por tanto requiere de un conglomerado de alternativas de todo </w:t>
      </w:r>
      <w:r w:rsidRPr="00ED5D53">
        <w:rPr>
          <w:rFonts w:ascii="Arial" w:hAnsi="Arial" w:cs="Arial"/>
          <w:sz w:val="20"/>
          <w:szCs w:val="20"/>
        </w:rPr>
        <w:lastRenderedPageBreak/>
        <w:t>orden, a fin de menguar o atenuar esta problemática, el cual se observa en todos los países del mundo, sin interesar el estrato social de las familias.</w:t>
      </w:r>
    </w:p>
    <w:p w:rsidR="0078498A" w:rsidRPr="00ED5D53" w:rsidRDefault="0078498A" w:rsidP="0078498A">
      <w:pPr>
        <w:tabs>
          <w:tab w:val="left" w:pos="1047"/>
        </w:tabs>
        <w:rPr>
          <w:rFonts w:ascii="Arial" w:hAnsi="Arial" w:cs="Arial"/>
          <w:sz w:val="20"/>
          <w:szCs w:val="20"/>
        </w:rPr>
      </w:pPr>
    </w:p>
    <w:p w:rsidR="0078498A" w:rsidRPr="00ED5D53" w:rsidRDefault="0078498A" w:rsidP="0078498A">
      <w:pPr>
        <w:tabs>
          <w:tab w:val="left" w:pos="1047"/>
        </w:tabs>
        <w:rPr>
          <w:rFonts w:ascii="Arial" w:hAnsi="Arial" w:cs="Arial"/>
          <w:sz w:val="20"/>
          <w:szCs w:val="20"/>
        </w:rPr>
      </w:pPr>
      <w:r w:rsidRPr="00ED5D53">
        <w:rPr>
          <w:rFonts w:ascii="Arial" w:hAnsi="Arial" w:cs="Arial"/>
          <w:sz w:val="20"/>
          <w:szCs w:val="20"/>
        </w:rPr>
        <w:t>Sancho (2019), en su investigación titulada “Violencia hacia la mujer en el ámbito familiar y/o de pareja: un enfoque desde la ley civil 24.417 de protección de Violencia Familiar”, y que el autor tiene como objetivo, el investigar dentro de la américa latina, Argentina y más concretamente la ciudad de Buenos Aires, los derechos que amparan a las mujeres víctimas de violencia en el ámbito familiar y/o de pareja. Así como conocer el funcionamiento de las leyes civiles de aplicación en esta temática y más específicamente la ley 24.417 de protección contra la violencia familiar y demás, etc.  Y que luego de la investigación realizada concluye que sigue hasta hoy sin resolver el tema del marco teórico, debiendo ser éste el soporte de referencia conceptual que se utiliza para el planteamiento de la investigación.  Señala además entre otras cosas que la sanción de la ley 24.417, ley de protección contra la violencia familiar  era una necesidad imperiosa en la sociedad argentina de Buenos Aires, por tratarse de uno de los problemas con más repercusiones sobre la sociedad que necesitaba de una respuesta desde los ámbitos legislativos y judiciales. Y agrega además que debería dictarse medidas de políticas públicas, políticas de asistencia y apoyo a las víctimas, políticas de reeducación y tratamiento psicológico y/o psiquiátrico de los victimarios, según sea el caso, etc.</w:t>
      </w:r>
    </w:p>
    <w:p w:rsidR="0078498A" w:rsidRPr="00ED5D53" w:rsidRDefault="0078498A" w:rsidP="0078498A">
      <w:pPr>
        <w:tabs>
          <w:tab w:val="left" w:pos="1047"/>
        </w:tabs>
        <w:rPr>
          <w:rFonts w:ascii="Arial" w:hAnsi="Arial" w:cs="Arial"/>
          <w:sz w:val="20"/>
          <w:szCs w:val="20"/>
        </w:rPr>
      </w:pPr>
      <w:bookmarkStart w:id="0" w:name="_Hlk101911862"/>
      <w:r w:rsidRPr="00ED5D53">
        <w:rPr>
          <w:rFonts w:ascii="Arial" w:hAnsi="Arial" w:cs="Arial"/>
          <w:sz w:val="20"/>
          <w:szCs w:val="20"/>
        </w:rPr>
        <w:t xml:space="preserve">Valero (2017),  titulada: “Genero y Paz: relatos de mujeres víctimas de violencia”, el autor tiene como objetivo identificar los diferentes tipos de violencia de género padecidos por las mujeres de Barranquilla-Colombia, </w:t>
      </w:r>
      <w:bookmarkEnd w:id="0"/>
      <w:r w:rsidRPr="00ED5D53">
        <w:rPr>
          <w:rFonts w:ascii="Arial" w:hAnsi="Arial" w:cs="Arial"/>
          <w:sz w:val="20"/>
          <w:szCs w:val="20"/>
        </w:rPr>
        <w:t>así como identificar la resignificación de la identidad, autoestima, independencia y dignidad ciudadana de las mujeres de esa ciudad víctimas de la violencia de género; y que luego de la investigación realizada  el autor, concluye que los resultados  obtenidos en el presente estudio han servido para comprobar y aceptar las  hipótesis planteadas, las cuales permitieron la afirmación  del propósito de esta investigación que no es otro que el identificar, comprender e interpretar  los discursos de las mujeres que han sufrido violencia de género en Barranquilla en el contexto de una sociedad patriarcal  y profundamente sexista, inmersa en conflictos armados, sociales, políticos, económicos y culturales, así como las diversas formas, estrategias y recursos de  dichas mujeres para de construir esas violencias, y los procesos de empoderamiento para reconducir sus vidas hacia un horizonte pacífico.</w:t>
      </w:r>
    </w:p>
    <w:p w:rsidR="0078498A" w:rsidRPr="00ED5D53" w:rsidRDefault="0078498A" w:rsidP="0078498A">
      <w:pPr>
        <w:tabs>
          <w:tab w:val="left" w:pos="1047"/>
        </w:tabs>
        <w:rPr>
          <w:rFonts w:ascii="Arial" w:hAnsi="Arial" w:cs="Arial"/>
          <w:sz w:val="20"/>
          <w:szCs w:val="20"/>
        </w:rPr>
      </w:pPr>
      <w:r w:rsidRPr="00ED5D53">
        <w:rPr>
          <w:rFonts w:ascii="Arial" w:hAnsi="Arial" w:cs="Arial"/>
          <w:sz w:val="20"/>
          <w:szCs w:val="20"/>
        </w:rPr>
        <w:t>Desde el año 2012, en Colombia se avanzaba en el reconocimiento de los derechos de las mujeres desde diferentes instancias, especialmente con la creación de una política pública de equidad de género, teniendo en cuenta las particularidades que las afectaban.</w:t>
      </w:r>
    </w:p>
    <w:p w:rsidR="00B514B4" w:rsidRPr="00ED5D53" w:rsidRDefault="0078498A" w:rsidP="0078498A">
      <w:pPr>
        <w:tabs>
          <w:tab w:val="left" w:pos="1047"/>
        </w:tabs>
        <w:rPr>
          <w:rFonts w:ascii="Arial" w:hAnsi="Arial" w:cs="Arial"/>
          <w:b/>
          <w:bCs/>
          <w:sz w:val="20"/>
          <w:szCs w:val="20"/>
        </w:rPr>
      </w:pPr>
      <w:r w:rsidRPr="00ED5D53">
        <w:rPr>
          <w:rFonts w:ascii="Arial" w:hAnsi="Arial" w:cs="Arial"/>
          <w:sz w:val="20"/>
          <w:szCs w:val="20"/>
        </w:rPr>
        <w:t xml:space="preserve">La reivindicación de los derechos de las mujeres, especialmente de su derecho a la igualdad y a la no discriminación, ha incidido en el cambio de ciertas visiones del mundo fundada en ciertos patrones (patriarcal, machismo, etc.). Esta política pública contribuyó a un mayor tratamiento y sensibilidad hacia los derechos de las mujeres y por ende permitió el reconocimiento y exclusión de hechos violentos las cuales eran objeto. Finalmente, la tesis </w:t>
      </w:r>
      <w:r w:rsidRPr="00ED5D53">
        <w:rPr>
          <w:rFonts w:ascii="Arial" w:hAnsi="Arial" w:cs="Arial"/>
          <w:sz w:val="20"/>
          <w:szCs w:val="20"/>
        </w:rPr>
        <w:lastRenderedPageBreak/>
        <w:t>abarca un período más amplio al contemplar antecedentes sobre las luchas de las mujeres por su dignidad y por la paz desde finales del siglo XX, según refiere el autor</w:t>
      </w:r>
      <w:r w:rsidRPr="00ED5D53">
        <w:rPr>
          <w:rFonts w:ascii="Arial" w:hAnsi="Arial" w:cs="Arial"/>
          <w:b/>
          <w:bCs/>
          <w:sz w:val="20"/>
          <w:szCs w:val="20"/>
        </w:rPr>
        <w:t>.</w:t>
      </w:r>
    </w:p>
    <w:p w:rsidR="007063E9" w:rsidRPr="00ED5D53" w:rsidRDefault="007063E9" w:rsidP="0078498A">
      <w:pPr>
        <w:tabs>
          <w:tab w:val="left" w:pos="1047"/>
        </w:tabs>
        <w:rPr>
          <w:rFonts w:ascii="Arial" w:hAnsi="Arial" w:cs="Arial"/>
          <w:b/>
          <w:bCs/>
          <w:sz w:val="20"/>
          <w:szCs w:val="20"/>
        </w:rPr>
      </w:pPr>
    </w:p>
    <w:p w:rsidR="007063E9" w:rsidRPr="00ED5D53" w:rsidRDefault="007063E9" w:rsidP="0078498A">
      <w:pPr>
        <w:tabs>
          <w:tab w:val="left" w:pos="1047"/>
        </w:tabs>
        <w:rPr>
          <w:rFonts w:ascii="Arial" w:hAnsi="Arial" w:cs="Arial"/>
          <w:b/>
          <w:bCs/>
          <w:sz w:val="20"/>
          <w:szCs w:val="20"/>
        </w:rPr>
      </w:pPr>
    </w:p>
    <w:p w:rsidR="007063E9" w:rsidRPr="00ED5D53" w:rsidRDefault="007063E9" w:rsidP="0078498A">
      <w:pPr>
        <w:tabs>
          <w:tab w:val="left" w:pos="1047"/>
        </w:tabs>
        <w:rPr>
          <w:rFonts w:ascii="Arial" w:hAnsi="Arial" w:cs="Arial"/>
          <w:b/>
          <w:bCs/>
          <w:sz w:val="20"/>
          <w:szCs w:val="20"/>
        </w:rPr>
      </w:pPr>
    </w:p>
    <w:p w:rsidR="0078498A" w:rsidRPr="00ED5D53" w:rsidRDefault="0078498A" w:rsidP="0078498A">
      <w:pPr>
        <w:tabs>
          <w:tab w:val="left" w:pos="1047"/>
        </w:tabs>
        <w:rPr>
          <w:rFonts w:ascii="Arial" w:hAnsi="Arial" w:cs="Arial"/>
          <w:b/>
          <w:bCs/>
          <w:color w:val="FF0000"/>
          <w:sz w:val="20"/>
          <w:szCs w:val="20"/>
        </w:rPr>
      </w:pPr>
    </w:p>
    <w:p w:rsidR="0017421D" w:rsidRPr="00ED5D53" w:rsidRDefault="0017421D" w:rsidP="007063E9">
      <w:pPr>
        <w:pStyle w:val="Prrafodelista"/>
        <w:numPr>
          <w:ilvl w:val="0"/>
          <w:numId w:val="1"/>
        </w:numPr>
        <w:tabs>
          <w:tab w:val="left" w:pos="1047"/>
        </w:tabs>
        <w:ind w:left="284" w:hanging="284"/>
        <w:rPr>
          <w:rFonts w:ascii="Arial" w:hAnsi="Arial" w:cs="Arial"/>
          <w:b/>
          <w:bCs/>
          <w:sz w:val="20"/>
          <w:szCs w:val="20"/>
        </w:rPr>
      </w:pPr>
      <w:r w:rsidRPr="00ED5D53">
        <w:rPr>
          <w:rFonts w:ascii="Arial" w:hAnsi="Arial" w:cs="Arial"/>
          <w:b/>
          <w:bCs/>
          <w:sz w:val="20"/>
          <w:szCs w:val="20"/>
        </w:rPr>
        <w:t>MATERIALES Y MÉTODOS</w:t>
      </w:r>
    </w:p>
    <w:p w:rsidR="0078498A" w:rsidRPr="00ED5D53" w:rsidRDefault="0078498A" w:rsidP="0078498A">
      <w:pPr>
        <w:tabs>
          <w:tab w:val="left" w:pos="1047"/>
        </w:tabs>
        <w:rPr>
          <w:rFonts w:ascii="Arial" w:hAnsi="Arial" w:cs="Arial"/>
          <w:sz w:val="20"/>
          <w:szCs w:val="20"/>
        </w:rPr>
      </w:pPr>
      <w:r w:rsidRPr="00ED5D53">
        <w:rPr>
          <w:rFonts w:ascii="Arial" w:hAnsi="Arial" w:cs="Arial"/>
          <w:sz w:val="20"/>
          <w:szCs w:val="20"/>
        </w:rPr>
        <w:t>La investigación fue aplicada, por lo que se espera alcanzar que los resultados sirvan de referencia a los titulares de la administración de justicia, y que estos sirvan como instrumentos en las decisiones judiciales.</w:t>
      </w:r>
    </w:p>
    <w:p w:rsidR="0078498A" w:rsidRPr="00ED5D53" w:rsidRDefault="0078498A" w:rsidP="0078498A">
      <w:pPr>
        <w:tabs>
          <w:tab w:val="left" w:pos="1047"/>
        </w:tabs>
        <w:rPr>
          <w:rFonts w:ascii="Arial" w:hAnsi="Arial" w:cs="Arial"/>
          <w:sz w:val="20"/>
          <w:szCs w:val="20"/>
        </w:rPr>
      </w:pPr>
      <w:r w:rsidRPr="00ED5D53">
        <w:rPr>
          <w:rFonts w:ascii="Arial" w:hAnsi="Arial" w:cs="Arial"/>
          <w:sz w:val="20"/>
          <w:szCs w:val="20"/>
        </w:rPr>
        <w:t>El diseño corresponde a una investigación no experimental, por cuanto el investigador no manipula la variable para obtener los resultados; asimismo es transversal ya que el investigador recolecta datos en un solo momento.</w:t>
      </w:r>
    </w:p>
    <w:p w:rsidR="0078498A" w:rsidRPr="00ED5D53" w:rsidRDefault="0078498A" w:rsidP="0078498A">
      <w:pPr>
        <w:tabs>
          <w:tab w:val="left" w:pos="1047"/>
        </w:tabs>
        <w:rPr>
          <w:rFonts w:ascii="Arial" w:hAnsi="Arial" w:cs="Arial"/>
          <w:sz w:val="20"/>
          <w:szCs w:val="20"/>
        </w:rPr>
      </w:pPr>
      <w:r w:rsidRPr="00ED5D53">
        <w:rPr>
          <w:rFonts w:ascii="Arial" w:hAnsi="Arial" w:cs="Arial"/>
          <w:sz w:val="20"/>
          <w:szCs w:val="20"/>
        </w:rPr>
        <w:t xml:space="preserve">Está constituido por los jueces de familia, jueces penales y fiscalías sobre violencia familiar, abogados en ejercicio y personal especializado del Poder Judicial. </w:t>
      </w:r>
      <w:r w:rsidR="007063E9" w:rsidRPr="00ED5D53">
        <w:rPr>
          <w:rFonts w:ascii="Arial" w:hAnsi="Arial" w:cs="Arial"/>
          <w:sz w:val="20"/>
          <w:szCs w:val="20"/>
        </w:rPr>
        <w:t>D</w:t>
      </w:r>
      <w:r w:rsidRPr="00ED5D53">
        <w:rPr>
          <w:rFonts w:ascii="Arial" w:hAnsi="Arial" w:cs="Arial"/>
          <w:sz w:val="20"/>
          <w:szCs w:val="20"/>
        </w:rPr>
        <w:t>é la Corte Superior de Lima Este. El tamaño de la muestra: 163 es el número de profesionales a quienes se le tomará la encuesta.</w:t>
      </w:r>
    </w:p>
    <w:p w:rsidR="004D2CF2" w:rsidRPr="00ED5D53" w:rsidRDefault="0017421D" w:rsidP="0078498A">
      <w:pPr>
        <w:tabs>
          <w:tab w:val="left" w:pos="1047"/>
        </w:tabs>
        <w:rPr>
          <w:rFonts w:ascii="Arial" w:hAnsi="Arial" w:cs="Arial"/>
          <w:sz w:val="20"/>
          <w:szCs w:val="20"/>
        </w:rPr>
      </w:pPr>
      <w:r w:rsidRPr="00ED5D53">
        <w:rPr>
          <w:rFonts w:ascii="Arial" w:hAnsi="Arial" w:cs="Arial"/>
          <w:b/>
          <w:bCs/>
          <w:sz w:val="20"/>
          <w:szCs w:val="20"/>
        </w:rPr>
        <w:t>Variable independiente:</w:t>
      </w:r>
      <w:r w:rsidRPr="00ED5D53">
        <w:rPr>
          <w:rFonts w:ascii="Arial" w:hAnsi="Arial" w:cs="Arial"/>
          <w:sz w:val="20"/>
          <w:szCs w:val="20"/>
        </w:rPr>
        <w:t xml:space="preserve"> </w:t>
      </w:r>
      <w:r w:rsidR="0078498A" w:rsidRPr="00ED5D53">
        <w:rPr>
          <w:rFonts w:ascii="Arial" w:hAnsi="Arial" w:cs="Arial"/>
          <w:sz w:val="20"/>
          <w:szCs w:val="20"/>
        </w:rPr>
        <w:t>Delito de feminicidio</w:t>
      </w:r>
    </w:p>
    <w:p w:rsidR="004D2CF2" w:rsidRPr="00ED5D53" w:rsidRDefault="0017421D" w:rsidP="003B2A35">
      <w:pPr>
        <w:tabs>
          <w:tab w:val="left" w:pos="1047"/>
        </w:tabs>
        <w:rPr>
          <w:rFonts w:ascii="Arial" w:hAnsi="Arial" w:cs="Arial"/>
          <w:sz w:val="20"/>
          <w:szCs w:val="20"/>
        </w:rPr>
      </w:pPr>
      <w:r w:rsidRPr="00ED5D53">
        <w:rPr>
          <w:rFonts w:ascii="Arial" w:hAnsi="Arial" w:cs="Arial"/>
          <w:b/>
          <w:bCs/>
          <w:sz w:val="20"/>
          <w:szCs w:val="20"/>
        </w:rPr>
        <w:t>Variable dependiente:</w:t>
      </w:r>
      <w:r w:rsidRPr="00ED5D53">
        <w:rPr>
          <w:rFonts w:ascii="Arial" w:hAnsi="Arial" w:cs="Arial"/>
          <w:sz w:val="20"/>
          <w:szCs w:val="20"/>
        </w:rPr>
        <w:t xml:space="preserve"> </w:t>
      </w:r>
      <w:r w:rsidR="0078498A" w:rsidRPr="00ED5D53">
        <w:rPr>
          <w:rFonts w:ascii="Arial" w:hAnsi="Arial" w:cs="Arial"/>
          <w:sz w:val="20"/>
          <w:szCs w:val="20"/>
        </w:rPr>
        <w:t>Delito de violencia familiar</w:t>
      </w:r>
    </w:p>
    <w:p w:rsidR="00D84E6C" w:rsidRPr="00ED5D53" w:rsidRDefault="0078498A" w:rsidP="003B2A35">
      <w:pPr>
        <w:tabs>
          <w:tab w:val="left" w:pos="1047"/>
        </w:tabs>
        <w:rPr>
          <w:rFonts w:ascii="Arial" w:hAnsi="Arial" w:cs="Arial"/>
          <w:sz w:val="20"/>
          <w:szCs w:val="20"/>
        </w:rPr>
      </w:pPr>
      <w:r w:rsidRPr="00ED5D53">
        <w:rPr>
          <w:rFonts w:ascii="Arial" w:hAnsi="Arial" w:cs="Arial"/>
          <w:sz w:val="20"/>
          <w:szCs w:val="20"/>
        </w:rPr>
        <w:t>Los</w:t>
      </w:r>
      <w:r w:rsidR="00194470" w:rsidRPr="00ED5D53">
        <w:rPr>
          <w:rFonts w:ascii="Arial" w:hAnsi="Arial" w:cs="Arial"/>
          <w:sz w:val="20"/>
          <w:szCs w:val="20"/>
        </w:rPr>
        <w:t xml:space="preserve"> </w:t>
      </w:r>
      <w:r w:rsidR="003B2A35" w:rsidRPr="00ED5D53">
        <w:rPr>
          <w:rFonts w:ascii="Arial" w:hAnsi="Arial" w:cs="Arial"/>
          <w:b/>
          <w:bCs/>
          <w:sz w:val="20"/>
          <w:szCs w:val="20"/>
        </w:rPr>
        <w:t>I</w:t>
      </w:r>
      <w:r w:rsidR="0017421D" w:rsidRPr="00ED5D53">
        <w:rPr>
          <w:rFonts w:ascii="Arial" w:hAnsi="Arial" w:cs="Arial"/>
          <w:b/>
          <w:bCs/>
          <w:sz w:val="20"/>
          <w:szCs w:val="20"/>
        </w:rPr>
        <w:t>nstrumentos</w:t>
      </w:r>
      <w:r w:rsidR="003B2A35" w:rsidRPr="00ED5D53">
        <w:rPr>
          <w:rFonts w:ascii="Arial" w:hAnsi="Arial" w:cs="Arial"/>
          <w:sz w:val="20"/>
          <w:szCs w:val="20"/>
        </w:rPr>
        <w:t>. Como técnica de recolección se utilizó el cuestionario que por intermedio de una encuesta conformada por preguntas</w:t>
      </w:r>
      <w:r w:rsidR="009D60FB" w:rsidRPr="00ED5D53">
        <w:rPr>
          <w:rFonts w:ascii="Arial" w:hAnsi="Arial" w:cs="Arial"/>
          <w:sz w:val="20"/>
          <w:szCs w:val="20"/>
        </w:rPr>
        <w:t>.</w:t>
      </w:r>
    </w:p>
    <w:p w:rsidR="007A6467" w:rsidRPr="00ED5D53" w:rsidRDefault="003B2A35" w:rsidP="003B2A35">
      <w:pPr>
        <w:tabs>
          <w:tab w:val="left" w:pos="1047"/>
        </w:tabs>
        <w:rPr>
          <w:rFonts w:ascii="Arial" w:hAnsi="Arial" w:cs="Arial"/>
          <w:sz w:val="20"/>
          <w:szCs w:val="20"/>
        </w:rPr>
      </w:pPr>
      <w:r w:rsidRPr="00ED5D53">
        <w:rPr>
          <w:rFonts w:ascii="Arial" w:hAnsi="Arial" w:cs="Arial"/>
          <w:b/>
          <w:bCs/>
          <w:sz w:val="20"/>
          <w:szCs w:val="20"/>
        </w:rPr>
        <w:t xml:space="preserve">Procedimientos. </w:t>
      </w:r>
      <w:r w:rsidR="001921B5" w:rsidRPr="00ED5D53">
        <w:rPr>
          <w:rFonts w:ascii="Arial" w:hAnsi="Arial" w:cs="Arial"/>
          <w:sz w:val="20"/>
          <w:szCs w:val="20"/>
        </w:rPr>
        <w:t>Se aplicarán las siguientes técnicas de procesamiento de datos: Ordenamiento y clasificación, Registro manual.</w:t>
      </w:r>
    </w:p>
    <w:p w:rsidR="009D60FB" w:rsidRPr="00ED5D53" w:rsidRDefault="003B2A35" w:rsidP="009D60FB">
      <w:pPr>
        <w:tabs>
          <w:tab w:val="left" w:pos="1047"/>
        </w:tabs>
        <w:rPr>
          <w:rFonts w:ascii="Arial" w:hAnsi="Arial" w:cs="Arial"/>
          <w:sz w:val="20"/>
          <w:szCs w:val="20"/>
        </w:rPr>
      </w:pPr>
      <w:r w:rsidRPr="00ED5D53">
        <w:rPr>
          <w:rFonts w:ascii="Arial" w:hAnsi="Arial" w:cs="Arial"/>
          <w:b/>
          <w:bCs/>
          <w:sz w:val="20"/>
          <w:szCs w:val="20"/>
        </w:rPr>
        <w:t xml:space="preserve">Análisis de datos. </w:t>
      </w:r>
    </w:p>
    <w:p w:rsidR="001921B5" w:rsidRPr="00ED5D53" w:rsidRDefault="001921B5" w:rsidP="001921B5">
      <w:pPr>
        <w:tabs>
          <w:tab w:val="left" w:pos="1047"/>
        </w:tabs>
        <w:rPr>
          <w:rFonts w:ascii="Arial" w:hAnsi="Arial" w:cs="Arial"/>
          <w:sz w:val="20"/>
          <w:szCs w:val="20"/>
        </w:rPr>
      </w:pPr>
      <w:r w:rsidRPr="00ED5D53">
        <w:rPr>
          <w:rFonts w:ascii="Arial" w:hAnsi="Arial" w:cs="Arial"/>
          <w:sz w:val="20"/>
          <w:szCs w:val="20"/>
        </w:rPr>
        <w:t xml:space="preserve">Proceso computarizado con Excel. </w:t>
      </w:r>
      <w:r w:rsidR="007063E9" w:rsidRPr="00ED5D53">
        <w:rPr>
          <w:rFonts w:ascii="Arial" w:hAnsi="Arial" w:cs="Arial"/>
          <w:sz w:val="20"/>
          <w:szCs w:val="20"/>
        </w:rPr>
        <w:t>–</w:t>
      </w:r>
      <w:r w:rsidRPr="00ED5D53">
        <w:rPr>
          <w:rFonts w:ascii="Arial" w:hAnsi="Arial" w:cs="Arial"/>
          <w:sz w:val="20"/>
          <w:szCs w:val="20"/>
        </w:rPr>
        <w:t xml:space="preserve"> Se aplicarán para determinar diversos cálculos matemáticos y estadísticos relacionados a los juzgados y fiscalías que son competentes en la investigación de la violencia familiar y el delito de feminicidio.</w:t>
      </w:r>
    </w:p>
    <w:p w:rsidR="001921B5" w:rsidRPr="00ED5D53" w:rsidRDefault="001921B5" w:rsidP="001921B5">
      <w:pPr>
        <w:tabs>
          <w:tab w:val="left" w:pos="1047"/>
        </w:tabs>
        <w:rPr>
          <w:rFonts w:ascii="Arial" w:hAnsi="Arial" w:cs="Arial"/>
          <w:sz w:val="20"/>
          <w:szCs w:val="20"/>
        </w:rPr>
      </w:pPr>
      <w:r w:rsidRPr="00ED5D53">
        <w:rPr>
          <w:rFonts w:ascii="Arial" w:hAnsi="Arial" w:cs="Arial"/>
          <w:sz w:val="20"/>
          <w:szCs w:val="20"/>
        </w:rPr>
        <w:t xml:space="preserve">Proceso computarizado con SPSS. </w:t>
      </w:r>
      <w:r w:rsidR="007063E9" w:rsidRPr="00ED5D53">
        <w:rPr>
          <w:rFonts w:ascii="Arial" w:hAnsi="Arial" w:cs="Arial"/>
          <w:sz w:val="20"/>
          <w:szCs w:val="20"/>
        </w:rPr>
        <w:t>–</w:t>
      </w:r>
      <w:r w:rsidRPr="00ED5D53">
        <w:rPr>
          <w:rFonts w:ascii="Arial" w:hAnsi="Arial" w:cs="Arial"/>
          <w:sz w:val="20"/>
          <w:szCs w:val="20"/>
        </w:rPr>
        <w:t xml:space="preserve"> Se aplicarán para dirigir, procesar y analizar datos relacionados a los juzgados y fiscalías con relación al tema materia de investigación.</w:t>
      </w:r>
    </w:p>
    <w:p w:rsidR="001921B5" w:rsidRPr="00ED5D53" w:rsidRDefault="001921B5" w:rsidP="001921B5">
      <w:pPr>
        <w:tabs>
          <w:tab w:val="left" w:pos="1047"/>
        </w:tabs>
        <w:rPr>
          <w:rFonts w:ascii="Arial" w:hAnsi="Arial" w:cs="Arial"/>
          <w:sz w:val="20"/>
          <w:szCs w:val="20"/>
        </w:rPr>
      </w:pPr>
    </w:p>
    <w:p w:rsidR="007A6467" w:rsidRPr="00ED5D53" w:rsidRDefault="009D60FB" w:rsidP="001921B5">
      <w:pPr>
        <w:tabs>
          <w:tab w:val="left" w:pos="1047"/>
        </w:tabs>
        <w:rPr>
          <w:rFonts w:ascii="Arial" w:hAnsi="Arial" w:cs="Arial"/>
          <w:sz w:val="20"/>
          <w:szCs w:val="20"/>
        </w:rPr>
      </w:pPr>
      <w:r w:rsidRPr="00ED5D53">
        <w:rPr>
          <w:rFonts w:ascii="Arial" w:hAnsi="Arial" w:cs="Arial"/>
          <w:sz w:val="20"/>
          <w:szCs w:val="20"/>
        </w:rPr>
        <w:t xml:space="preserve"> </w:t>
      </w:r>
    </w:p>
    <w:p w:rsidR="0017421D" w:rsidRPr="00ED5D53" w:rsidRDefault="0017421D" w:rsidP="007063E9">
      <w:pPr>
        <w:pStyle w:val="Prrafodelista"/>
        <w:numPr>
          <w:ilvl w:val="0"/>
          <w:numId w:val="1"/>
        </w:numPr>
        <w:tabs>
          <w:tab w:val="left" w:pos="1047"/>
        </w:tabs>
        <w:ind w:left="284" w:hanging="284"/>
        <w:rPr>
          <w:rFonts w:ascii="Arial" w:hAnsi="Arial" w:cs="Arial"/>
          <w:b/>
          <w:bCs/>
          <w:sz w:val="20"/>
          <w:szCs w:val="20"/>
        </w:rPr>
      </w:pPr>
      <w:r w:rsidRPr="00ED5D53">
        <w:rPr>
          <w:rFonts w:ascii="Arial" w:hAnsi="Arial" w:cs="Arial"/>
          <w:b/>
          <w:bCs/>
          <w:sz w:val="20"/>
          <w:szCs w:val="20"/>
        </w:rPr>
        <w:t xml:space="preserve">RESULTADOS </w:t>
      </w:r>
    </w:p>
    <w:p w:rsidR="001921B5" w:rsidRPr="00ED5D53" w:rsidRDefault="001921B5" w:rsidP="001921B5">
      <w:pPr>
        <w:keepNext/>
        <w:keepLines/>
        <w:spacing w:line="240" w:lineRule="auto"/>
        <w:ind w:firstLine="0"/>
        <w:jc w:val="left"/>
        <w:outlineLvl w:val="1"/>
        <w:rPr>
          <w:rFonts w:ascii="Arial" w:eastAsia="Times New Roman" w:hAnsi="Arial" w:cs="Arial"/>
          <w:b/>
          <w:snapToGrid w:val="0"/>
          <w:sz w:val="20"/>
          <w:szCs w:val="20"/>
          <w:u w:val="single"/>
          <w:lang w:val="es-MX" w:eastAsia="es-PE"/>
        </w:rPr>
      </w:pPr>
      <w:bookmarkStart w:id="1" w:name="_Toc30780480"/>
      <w:r w:rsidRPr="00ED5D53">
        <w:rPr>
          <w:rFonts w:ascii="Arial" w:eastAsia="Times New Roman" w:hAnsi="Arial" w:cs="Arial"/>
          <w:b/>
          <w:snapToGrid w:val="0"/>
          <w:sz w:val="20"/>
          <w:szCs w:val="20"/>
          <w:u w:val="single"/>
          <w:lang w:val="es-MX" w:eastAsia="es-PE"/>
        </w:rPr>
        <w:t>Contrastación de la hipótesis.</w:t>
      </w:r>
    </w:p>
    <w:p w:rsidR="007063E9" w:rsidRPr="00ED5D53" w:rsidRDefault="007063E9" w:rsidP="001921B5">
      <w:pPr>
        <w:keepNext/>
        <w:keepLines/>
        <w:spacing w:line="240" w:lineRule="auto"/>
        <w:ind w:firstLine="0"/>
        <w:jc w:val="left"/>
        <w:outlineLvl w:val="1"/>
        <w:rPr>
          <w:rFonts w:ascii="Arial" w:eastAsia="Times New Roman" w:hAnsi="Arial" w:cs="Arial"/>
          <w:b/>
          <w:snapToGrid w:val="0"/>
          <w:sz w:val="20"/>
          <w:szCs w:val="20"/>
          <w:u w:val="single"/>
          <w:lang w:val="es-MX" w:eastAsia="es-PE"/>
        </w:rPr>
      </w:pPr>
    </w:p>
    <w:p w:rsidR="001921B5" w:rsidRPr="00ED5D53" w:rsidRDefault="001921B5" w:rsidP="001921B5">
      <w:pPr>
        <w:keepNext/>
        <w:keepLines/>
        <w:spacing w:line="240" w:lineRule="auto"/>
        <w:ind w:firstLine="0"/>
        <w:jc w:val="left"/>
        <w:outlineLvl w:val="2"/>
        <w:rPr>
          <w:rFonts w:ascii="Arial" w:eastAsia="Times New Roman" w:hAnsi="Arial" w:cs="Arial"/>
          <w:b/>
          <w:i/>
          <w:snapToGrid w:val="0"/>
          <w:sz w:val="20"/>
          <w:szCs w:val="20"/>
          <w:lang w:eastAsia="es-PE"/>
        </w:rPr>
      </w:pPr>
      <w:bookmarkStart w:id="2" w:name="_Toc93251127"/>
      <w:bookmarkStart w:id="3" w:name="_Toc93257914"/>
      <w:r w:rsidRPr="00ED5D53">
        <w:rPr>
          <w:rFonts w:ascii="Arial" w:eastAsia="Times New Roman" w:hAnsi="Arial" w:cs="Arial"/>
          <w:b/>
          <w:i/>
          <w:snapToGrid w:val="0"/>
          <w:sz w:val="20"/>
          <w:szCs w:val="20"/>
          <w:lang w:eastAsia="es-PE"/>
        </w:rPr>
        <w:t>Hipótesis General</w:t>
      </w:r>
      <w:bookmarkEnd w:id="2"/>
      <w:bookmarkEnd w:id="3"/>
    </w:p>
    <w:p w:rsidR="001921B5" w:rsidRPr="00ED5D53" w:rsidRDefault="001921B5" w:rsidP="001921B5">
      <w:pPr>
        <w:numPr>
          <w:ilvl w:val="0"/>
          <w:numId w:val="10"/>
        </w:numPr>
        <w:tabs>
          <w:tab w:val="left" w:pos="4395"/>
        </w:tabs>
        <w:spacing w:line="240" w:lineRule="auto"/>
        <w:ind w:left="567" w:hanging="283"/>
        <w:contextualSpacing/>
        <w:rPr>
          <w:rFonts w:ascii="Arial" w:eastAsia="Calibri" w:hAnsi="Arial" w:cs="Arial"/>
          <w:color w:val="000000"/>
          <w:sz w:val="20"/>
          <w:szCs w:val="20"/>
        </w:rPr>
      </w:pPr>
      <w:r w:rsidRPr="00ED5D53">
        <w:rPr>
          <w:rFonts w:ascii="Arial" w:eastAsia="Calibri" w:hAnsi="Arial" w:cs="Arial"/>
          <w:snapToGrid w:val="0"/>
          <w:color w:val="000000"/>
          <w:sz w:val="20"/>
          <w:szCs w:val="20"/>
        </w:rPr>
        <w:t>H</w:t>
      </w:r>
      <w:r w:rsidRPr="00ED5D53">
        <w:rPr>
          <w:rFonts w:ascii="Arial" w:eastAsia="Calibri" w:hAnsi="Arial" w:cs="Arial"/>
          <w:snapToGrid w:val="0"/>
          <w:color w:val="000000"/>
          <w:sz w:val="20"/>
          <w:szCs w:val="20"/>
          <w:vertAlign w:val="subscript"/>
        </w:rPr>
        <w:t>0</w:t>
      </w:r>
      <w:r w:rsidRPr="00ED5D53">
        <w:rPr>
          <w:rFonts w:ascii="Arial" w:eastAsia="Calibri" w:hAnsi="Arial" w:cs="Arial"/>
          <w:snapToGrid w:val="0"/>
          <w:color w:val="000000"/>
          <w:sz w:val="20"/>
          <w:szCs w:val="20"/>
        </w:rPr>
        <w:t xml:space="preserve">: </w:t>
      </w:r>
      <w:r w:rsidRPr="00ED5D53">
        <w:rPr>
          <w:rFonts w:ascii="Arial" w:eastAsia="Calibri" w:hAnsi="Arial" w:cs="Arial"/>
          <w:bCs/>
          <w:color w:val="000000"/>
          <w:sz w:val="20"/>
          <w:szCs w:val="20"/>
        </w:rPr>
        <w:t>La Violencia familiar, no incide con el Delito de Feminicidio en la Corte Superior de Lima Este-Distrito de San Juan de Lurigancho.</w:t>
      </w:r>
    </w:p>
    <w:p w:rsidR="001921B5" w:rsidRPr="00ED5D53" w:rsidRDefault="001921B5" w:rsidP="001921B5">
      <w:pPr>
        <w:numPr>
          <w:ilvl w:val="0"/>
          <w:numId w:val="10"/>
        </w:numPr>
        <w:tabs>
          <w:tab w:val="left" w:pos="4395"/>
        </w:tabs>
        <w:spacing w:line="240" w:lineRule="auto"/>
        <w:ind w:left="567" w:hanging="283"/>
        <w:contextualSpacing/>
        <w:rPr>
          <w:rFonts w:ascii="Arial" w:eastAsia="Calibri" w:hAnsi="Arial" w:cs="Arial"/>
          <w:color w:val="000000"/>
          <w:sz w:val="20"/>
          <w:szCs w:val="20"/>
        </w:rPr>
      </w:pPr>
      <w:r w:rsidRPr="00ED5D53">
        <w:rPr>
          <w:rFonts w:ascii="Arial" w:eastAsia="Times New Roman" w:hAnsi="Arial" w:cs="Arial"/>
          <w:snapToGrid w:val="0"/>
          <w:color w:val="000000"/>
          <w:sz w:val="20"/>
          <w:szCs w:val="20"/>
          <w:lang w:eastAsia="es-PE"/>
        </w:rPr>
        <w:t>H</w:t>
      </w:r>
      <w:r w:rsidRPr="00ED5D53">
        <w:rPr>
          <w:rFonts w:ascii="Arial" w:eastAsia="Times New Roman" w:hAnsi="Arial" w:cs="Arial"/>
          <w:snapToGrid w:val="0"/>
          <w:color w:val="000000"/>
          <w:sz w:val="20"/>
          <w:szCs w:val="20"/>
          <w:vertAlign w:val="subscript"/>
          <w:lang w:eastAsia="es-PE"/>
        </w:rPr>
        <w:t>1</w:t>
      </w:r>
      <w:r w:rsidRPr="00ED5D53">
        <w:rPr>
          <w:rFonts w:ascii="Arial" w:eastAsia="Times New Roman" w:hAnsi="Arial" w:cs="Arial"/>
          <w:snapToGrid w:val="0"/>
          <w:color w:val="000000"/>
          <w:sz w:val="20"/>
          <w:szCs w:val="20"/>
          <w:lang w:eastAsia="es-PE"/>
        </w:rPr>
        <w:t xml:space="preserve">: </w:t>
      </w:r>
      <w:r w:rsidRPr="00ED5D53">
        <w:rPr>
          <w:rFonts w:ascii="Arial" w:eastAsia="Calibri" w:hAnsi="Arial" w:cs="Arial"/>
          <w:bCs/>
          <w:color w:val="000000"/>
          <w:sz w:val="20"/>
          <w:szCs w:val="20"/>
        </w:rPr>
        <w:t xml:space="preserve">La Violencia familiar, si incide significativamente con el delito de Feminicidio en la Corte Superior de Lima-Distrito San Juan de Lurigancho </w:t>
      </w:r>
    </w:p>
    <w:p w:rsidR="001921B5" w:rsidRPr="00ED5D53" w:rsidRDefault="001921B5" w:rsidP="001921B5">
      <w:pPr>
        <w:numPr>
          <w:ilvl w:val="0"/>
          <w:numId w:val="10"/>
        </w:numPr>
        <w:spacing w:line="240" w:lineRule="auto"/>
        <w:ind w:left="567" w:right="121" w:hanging="283"/>
        <w:contextualSpacing/>
        <w:rPr>
          <w:rFonts w:ascii="Arial" w:eastAsia="Times New Roman" w:hAnsi="Arial" w:cs="Arial"/>
          <w:snapToGrid w:val="0"/>
          <w:color w:val="000000"/>
          <w:sz w:val="20"/>
          <w:szCs w:val="20"/>
          <w:lang w:eastAsia="es-PE"/>
        </w:rPr>
      </w:pPr>
      <w:r w:rsidRPr="00ED5D53">
        <w:rPr>
          <w:rFonts w:ascii="Arial" w:eastAsia="Times New Roman" w:hAnsi="Arial" w:cs="Arial"/>
          <w:snapToGrid w:val="0"/>
          <w:color w:val="000000"/>
          <w:sz w:val="20"/>
          <w:szCs w:val="20"/>
          <w:lang w:eastAsia="es-PE"/>
        </w:rPr>
        <w:t>Nivel de significación (α): 0.05</w:t>
      </w:r>
    </w:p>
    <w:p w:rsidR="001921B5" w:rsidRPr="00ED5D53" w:rsidRDefault="001921B5" w:rsidP="001921B5">
      <w:pPr>
        <w:numPr>
          <w:ilvl w:val="0"/>
          <w:numId w:val="10"/>
        </w:numPr>
        <w:spacing w:line="240" w:lineRule="auto"/>
        <w:ind w:left="567" w:right="121" w:hanging="283"/>
        <w:contextualSpacing/>
        <w:rPr>
          <w:rFonts w:ascii="Arial" w:eastAsia="Times New Roman" w:hAnsi="Arial" w:cs="Arial"/>
          <w:snapToGrid w:val="0"/>
          <w:color w:val="000000"/>
          <w:sz w:val="20"/>
          <w:szCs w:val="20"/>
          <w:lang w:eastAsia="es-PE"/>
        </w:rPr>
      </w:pPr>
      <w:r w:rsidRPr="00ED5D53">
        <w:rPr>
          <w:rFonts w:ascii="Arial" w:eastAsia="Times New Roman" w:hAnsi="Arial" w:cs="Arial"/>
          <w:snapToGrid w:val="0"/>
          <w:color w:val="000000"/>
          <w:sz w:val="20"/>
          <w:szCs w:val="20"/>
          <w:lang w:eastAsia="es-PE"/>
        </w:rPr>
        <w:t>Prueba estadística: Rho de Spearman</w:t>
      </w:r>
    </w:p>
    <w:p w:rsidR="001921B5" w:rsidRPr="00ED5D53" w:rsidRDefault="001921B5" w:rsidP="001921B5">
      <w:pPr>
        <w:numPr>
          <w:ilvl w:val="0"/>
          <w:numId w:val="10"/>
        </w:numPr>
        <w:autoSpaceDE w:val="0"/>
        <w:autoSpaceDN w:val="0"/>
        <w:adjustRightInd w:val="0"/>
        <w:spacing w:line="240" w:lineRule="auto"/>
        <w:ind w:left="567" w:right="121" w:hanging="283"/>
        <w:contextualSpacing/>
        <w:rPr>
          <w:rFonts w:ascii="Arial" w:eastAsia="Calibri" w:hAnsi="Arial" w:cs="Arial"/>
          <w:color w:val="000000"/>
          <w:sz w:val="20"/>
          <w:szCs w:val="20"/>
        </w:rPr>
      </w:pPr>
      <w:r w:rsidRPr="00ED5D53">
        <w:rPr>
          <w:rFonts w:ascii="Arial" w:eastAsia="Times New Roman" w:hAnsi="Arial" w:cs="Arial"/>
          <w:snapToGrid w:val="0"/>
          <w:color w:val="000000"/>
          <w:sz w:val="20"/>
          <w:szCs w:val="20"/>
          <w:lang w:eastAsia="es-PE"/>
        </w:rPr>
        <w:t xml:space="preserve">Cálculo de prueba: </w:t>
      </w:r>
      <w:r w:rsidRPr="00ED5D53">
        <w:rPr>
          <w:rFonts w:ascii="Arial" w:eastAsia="Calibri" w:hAnsi="Arial" w:cs="Arial"/>
          <w:color w:val="000000"/>
          <w:sz w:val="20"/>
          <w:szCs w:val="20"/>
        </w:rPr>
        <w:t>Los resultados de la contratación de la prueba de hipótesis se realizaron mediante el estadístico Rho de Spearman al nivel de significación del 0.05 con los siguientes resultados.</w:t>
      </w:r>
    </w:p>
    <w:tbl>
      <w:tblPr>
        <w:tblpPr w:leftFromText="141" w:rightFromText="141" w:vertAnchor="text" w:horzAnchor="margin" w:tblpY="1255"/>
        <w:tblW w:w="8978" w:type="dxa"/>
        <w:tblBorders>
          <w:top w:val="single" w:sz="4" w:space="0" w:color="auto"/>
          <w:bottom w:val="single" w:sz="4" w:space="0" w:color="auto"/>
        </w:tblBorders>
        <w:tblLayout w:type="fixed"/>
        <w:tblCellMar>
          <w:left w:w="0" w:type="dxa"/>
          <w:right w:w="0" w:type="dxa"/>
        </w:tblCellMar>
        <w:tblLook w:val="0000"/>
      </w:tblPr>
      <w:tblGrid>
        <w:gridCol w:w="1712"/>
        <w:gridCol w:w="2239"/>
        <w:gridCol w:w="1801"/>
        <w:gridCol w:w="1542"/>
        <w:gridCol w:w="1684"/>
      </w:tblGrid>
      <w:tr w:rsidR="001921B5" w:rsidRPr="00ED5D53" w:rsidTr="004F3748">
        <w:trPr>
          <w:cantSplit/>
          <w:trHeight w:val="485"/>
        </w:trPr>
        <w:tc>
          <w:tcPr>
            <w:tcW w:w="5752" w:type="dxa"/>
            <w:gridSpan w:val="3"/>
            <w:tcBorders>
              <w:top w:val="single" w:sz="4" w:space="0" w:color="auto"/>
              <w:bottom w:val="single" w:sz="4" w:space="0" w:color="auto"/>
            </w:tcBorders>
            <w:shd w:val="clear" w:color="auto" w:fill="auto"/>
            <w:vAlign w:val="bottom"/>
          </w:tcPr>
          <w:p w:rsidR="001921B5" w:rsidRPr="00ED5D53" w:rsidRDefault="001921B5" w:rsidP="00350A45">
            <w:pPr>
              <w:autoSpaceDE w:val="0"/>
              <w:autoSpaceDN w:val="0"/>
              <w:adjustRightInd w:val="0"/>
              <w:spacing w:line="240" w:lineRule="auto"/>
              <w:ind w:firstLine="0"/>
              <w:rPr>
                <w:rFonts w:ascii="Arial" w:eastAsia="Calibri" w:hAnsi="Arial" w:cs="Arial"/>
                <w:color w:val="000000"/>
                <w:sz w:val="20"/>
                <w:szCs w:val="20"/>
              </w:rPr>
            </w:pPr>
          </w:p>
        </w:tc>
        <w:tc>
          <w:tcPr>
            <w:tcW w:w="1542" w:type="dxa"/>
            <w:tcBorders>
              <w:top w:val="single" w:sz="4" w:space="0" w:color="auto"/>
              <w:bottom w:val="single" w:sz="4" w:space="0" w:color="auto"/>
            </w:tcBorders>
            <w:shd w:val="clear" w:color="auto" w:fill="auto"/>
            <w:vAlign w:val="bottom"/>
          </w:tcPr>
          <w:p w:rsidR="001921B5" w:rsidRPr="00ED5D53" w:rsidRDefault="001921B5" w:rsidP="00350A45">
            <w:pPr>
              <w:autoSpaceDE w:val="0"/>
              <w:autoSpaceDN w:val="0"/>
              <w:adjustRightInd w:val="0"/>
              <w:spacing w:line="240" w:lineRule="auto"/>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VIOLENCIA FAMILIAR</w:t>
            </w:r>
          </w:p>
        </w:tc>
        <w:tc>
          <w:tcPr>
            <w:tcW w:w="1684" w:type="dxa"/>
            <w:tcBorders>
              <w:top w:val="single" w:sz="4" w:space="0" w:color="auto"/>
              <w:bottom w:val="single" w:sz="4" w:space="0" w:color="auto"/>
            </w:tcBorders>
            <w:shd w:val="clear" w:color="auto" w:fill="auto"/>
            <w:vAlign w:val="bottom"/>
          </w:tcPr>
          <w:p w:rsidR="001921B5" w:rsidRPr="00ED5D53" w:rsidRDefault="001921B5" w:rsidP="00350A45">
            <w:pPr>
              <w:autoSpaceDE w:val="0"/>
              <w:autoSpaceDN w:val="0"/>
              <w:adjustRightInd w:val="0"/>
              <w:spacing w:line="240" w:lineRule="auto"/>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DELITO DE FEMINICIDIO</w:t>
            </w:r>
          </w:p>
        </w:tc>
      </w:tr>
      <w:tr w:rsidR="001921B5" w:rsidRPr="00ED5D53" w:rsidTr="004F3748">
        <w:trPr>
          <w:cantSplit/>
          <w:trHeight w:val="248"/>
        </w:trPr>
        <w:tc>
          <w:tcPr>
            <w:tcW w:w="1712" w:type="dxa"/>
            <w:vMerge w:val="restart"/>
            <w:tcBorders>
              <w:top w:val="single" w:sz="4" w:space="0" w:color="auto"/>
            </w:tcBorders>
            <w:shd w:val="clear" w:color="auto" w:fill="auto"/>
          </w:tcPr>
          <w:p w:rsidR="001921B5" w:rsidRPr="00ED5D53" w:rsidRDefault="001921B5" w:rsidP="00350A4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Rho de Spearman</w:t>
            </w:r>
          </w:p>
        </w:tc>
        <w:tc>
          <w:tcPr>
            <w:tcW w:w="2239" w:type="dxa"/>
            <w:vMerge w:val="restart"/>
            <w:tcBorders>
              <w:top w:val="single" w:sz="4" w:space="0" w:color="auto"/>
            </w:tcBorders>
            <w:shd w:val="clear" w:color="auto" w:fill="auto"/>
          </w:tcPr>
          <w:p w:rsidR="001921B5" w:rsidRPr="00ED5D53" w:rsidRDefault="001921B5" w:rsidP="00350A45">
            <w:pPr>
              <w:autoSpaceDE w:val="0"/>
              <w:autoSpaceDN w:val="0"/>
              <w:adjustRightInd w:val="0"/>
              <w:spacing w:line="240" w:lineRule="auto"/>
              <w:ind w:right="60" w:firstLine="0"/>
              <w:rPr>
                <w:rFonts w:ascii="Arial" w:eastAsia="Calibri" w:hAnsi="Arial" w:cs="Arial"/>
                <w:color w:val="000000"/>
                <w:sz w:val="20"/>
                <w:szCs w:val="20"/>
              </w:rPr>
            </w:pPr>
            <w:r w:rsidRPr="00ED5D53">
              <w:rPr>
                <w:rFonts w:ascii="Arial" w:eastAsia="Calibri" w:hAnsi="Arial" w:cs="Arial"/>
                <w:color w:val="000000"/>
                <w:sz w:val="20"/>
                <w:szCs w:val="20"/>
              </w:rPr>
              <w:t>VIOLENCIA FAMILIAR</w:t>
            </w:r>
          </w:p>
        </w:tc>
        <w:tc>
          <w:tcPr>
            <w:tcW w:w="1801" w:type="dxa"/>
            <w:tcBorders>
              <w:top w:val="single" w:sz="4" w:space="0" w:color="auto"/>
            </w:tcBorders>
            <w:shd w:val="clear" w:color="auto" w:fill="auto"/>
          </w:tcPr>
          <w:p w:rsidR="001921B5" w:rsidRPr="00ED5D53" w:rsidRDefault="001921B5" w:rsidP="00350A45">
            <w:pPr>
              <w:autoSpaceDE w:val="0"/>
              <w:autoSpaceDN w:val="0"/>
              <w:adjustRightInd w:val="0"/>
              <w:spacing w:line="240" w:lineRule="auto"/>
              <w:ind w:right="60" w:firstLine="0"/>
              <w:rPr>
                <w:rFonts w:ascii="Arial" w:eastAsia="Calibri" w:hAnsi="Arial" w:cs="Arial"/>
                <w:color w:val="000000"/>
                <w:sz w:val="20"/>
                <w:szCs w:val="20"/>
              </w:rPr>
            </w:pPr>
            <w:r w:rsidRPr="00ED5D53">
              <w:rPr>
                <w:rFonts w:ascii="Arial" w:eastAsia="Calibri" w:hAnsi="Arial" w:cs="Arial"/>
                <w:color w:val="000000"/>
                <w:sz w:val="20"/>
                <w:szCs w:val="20"/>
              </w:rPr>
              <w:t>Coeficiente de correlación</w:t>
            </w:r>
          </w:p>
        </w:tc>
        <w:tc>
          <w:tcPr>
            <w:tcW w:w="1542" w:type="dxa"/>
            <w:tcBorders>
              <w:top w:val="single" w:sz="4" w:space="0" w:color="auto"/>
            </w:tcBorders>
            <w:shd w:val="clear" w:color="auto" w:fill="auto"/>
          </w:tcPr>
          <w:p w:rsidR="001921B5" w:rsidRPr="00ED5D53" w:rsidRDefault="001921B5" w:rsidP="00350A45">
            <w:pPr>
              <w:autoSpaceDE w:val="0"/>
              <w:autoSpaceDN w:val="0"/>
              <w:adjustRightInd w:val="0"/>
              <w:spacing w:line="240" w:lineRule="auto"/>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1,000</w:t>
            </w:r>
          </w:p>
        </w:tc>
        <w:tc>
          <w:tcPr>
            <w:tcW w:w="1684" w:type="dxa"/>
            <w:tcBorders>
              <w:top w:val="single" w:sz="4" w:space="0" w:color="auto"/>
            </w:tcBorders>
            <w:shd w:val="clear" w:color="auto" w:fill="auto"/>
          </w:tcPr>
          <w:p w:rsidR="001921B5" w:rsidRPr="00ED5D53" w:rsidRDefault="001921B5" w:rsidP="00350A45">
            <w:pPr>
              <w:autoSpaceDE w:val="0"/>
              <w:autoSpaceDN w:val="0"/>
              <w:adjustRightInd w:val="0"/>
              <w:spacing w:line="240" w:lineRule="auto"/>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,852</w:t>
            </w:r>
            <w:r w:rsidRPr="00ED5D53">
              <w:rPr>
                <w:rFonts w:ascii="Arial" w:eastAsia="Calibri" w:hAnsi="Arial" w:cs="Arial"/>
                <w:color w:val="000000"/>
                <w:sz w:val="20"/>
                <w:szCs w:val="20"/>
                <w:vertAlign w:val="superscript"/>
              </w:rPr>
              <w:t>**</w:t>
            </w:r>
          </w:p>
        </w:tc>
      </w:tr>
      <w:tr w:rsidR="001921B5" w:rsidRPr="00ED5D53" w:rsidTr="004F3748">
        <w:trPr>
          <w:cantSplit/>
          <w:trHeight w:val="248"/>
        </w:trPr>
        <w:tc>
          <w:tcPr>
            <w:tcW w:w="1712" w:type="dxa"/>
            <w:vMerge/>
            <w:shd w:val="clear" w:color="auto" w:fill="auto"/>
          </w:tcPr>
          <w:p w:rsidR="001921B5" w:rsidRPr="00ED5D53" w:rsidRDefault="001921B5" w:rsidP="00350A45">
            <w:pPr>
              <w:autoSpaceDE w:val="0"/>
              <w:autoSpaceDN w:val="0"/>
              <w:adjustRightInd w:val="0"/>
              <w:spacing w:line="240" w:lineRule="auto"/>
              <w:ind w:firstLine="0"/>
              <w:rPr>
                <w:rFonts w:ascii="Arial" w:eastAsia="Calibri" w:hAnsi="Arial" w:cs="Arial"/>
                <w:color w:val="000000"/>
                <w:sz w:val="20"/>
                <w:szCs w:val="20"/>
              </w:rPr>
            </w:pPr>
          </w:p>
        </w:tc>
        <w:tc>
          <w:tcPr>
            <w:tcW w:w="2239" w:type="dxa"/>
            <w:vMerge/>
            <w:shd w:val="clear" w:color="auto" w:fill="auto"/>
          </w:tcPr>
          <w:p w:rsidR="001921B5" w:rsidRPr="00ED5D53" w:rsidRDefault="001921B5" w:rsidP="00350A45">
            <w:pPr>
              <w:autoSpaceDE w:val="0"/>
              <w:autoSpaceDN w:val="0"/>
              <w:adjustRightInd w:val="0"/>
              <w:spacing w:line="240" w:lineRule="auto"/>
              <w:ind w:firstLine="0"/>
              <w:rPr>
                <w:rFonts w:ascii="Arial" w:eastAsia="Calibri" w:hAnsi="Arial" w:cs="Arial"/>
                <w:color w:val="000000"/>
                <w:sz w:val="20"/>
                <w:szCs w:val="20"/>
              </w:rPr>
            </w:pPr>
          </w:p>
        </w:tc>
        <w:tc>
          <w:tcPr>
            <w:tcW w:w="1801" w:type="dxa"/>
            <w:shd w:val="clear" w:color="auto" w:fill="auto"/>
          </w:tcPr>
          <w:p w:rsidR="001921B5" w:rsidRPr="00ED5D53" w:rsidRDefault="001921B5" w:rsidP="00350A45">
            <w:pPr>
              <w:autoSpaceDE w:val="0"/>
              <w:autoSpaceDN w:val="0"/>
              <w:adjustRightInd w:val="0"/>
              <w:spacing w:line="240" w:lineRule="auto"/>
              <w:ind w:right="60" w:firstLine="0"/>
              <w:rPr>
                <w:rFonts w:ascii="Arial" w:eastAsia="Calibri" w:hAnsi="Arial" w:cs="Arial"/>
                <w:color w:val="000000"/>
                <w:sz w:val="20"/>
                <w:szCs w:val="20"/>
              </w:rPr>
            </w:pPr>
            <w:r w:rsidRPr="00ED5D53">
              <w:rPr>
                <w:rFonts w:ascii="Arial" w:eastAsia="Calibri" w:hAnsi="Arial" w:cs="Arial"/>
                <w:color w:val="000000"/>
                <w:sz w:val="20"/>
                <w:szCs w:val="20"/>
              </w:rPr>
              <w:t>Sig. (bilateral)</w:t>
            </w:r>
          </w:p>
        </w:tc>
        <w:tc>
          <w:tcPr>
            <w:tcW w:w="1542" w:type="dxa"/>
            <w:shd w:val="clear" w:color="auto" w:fill="auto"/>
          </w:tcPr>
          <w:p w:rsidR="001921B5" w:rsidRPr="00ED5D53" w:rsidRDefault="001921B5" w:rsidP="00350A45">
            <w:pPr>
              <w:autoSpaceDE w:val="0"/>
              <w:autoSpaceDN w:val="0"/>
              <w:adjustRightInd w:val="0"/>
              <w:spacing w:line="240" w:lineRule="auto"/>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w:t>
            </w:r>
          </w:p>
        </w:tc>
        <w:tc>
          <w:tcPr>
            <w:tcW w:w="1684" w:type="dxa"/>
            <w:shd w:val="clear" w:color="auto" w:fill="auto"/>
          </w:tcPr>
          <w:p w:rsidR="001921B5" w:rsidRPr="00ED5D53" w:rsidRDefault="001921B5" w:rsidP="00350A45">
            <w:pPr>
              <w:autoSpaceDE w:val="0"/>
              <w:autoSpaceDN w:val="0"/>
              <w:adjustRightInd w:val="0"/>
              <w:spacing w:line="240" w:lineRule="auto"/>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,000</w:t>
            </w:r>
          </w:p>
        </w:tc>
      </w:tr>
      <w:tr w:rsidR="001921B5" w:rsidRPr="00ED5D53" w:rsidTr="004F3748">
        <w:trPr>
          <w:cantSplit/>
          <w:trHeight w:val="260"/>
        </w:trPr>
        <w:tc>
          <w:tcPr>
            <w:tcW w:w="1712" w:type="dxa"/>
            <w:vMerge/>
            <w:shd w:val="clear" w:color="auto" w:fill="auto"/>
          </w:tcPr>
          <w:p w:rsidR="001921B5" w:rsidRPr="00ED5D53" w:rsidRDefault="001921B5" w:rsidP="00350A45">
            <w:pPr>
              <w:autoSpaceDE w:val="0"/>
              <w:autoSpaceDN w:val="0"/>
              <w:adjustRightInd w:val="0"/>
              <w:spacing w:line="240" w:lineRule="auto"/>
              <w:ind w:firstLine="0"/>
              <w:rPr>
                <w:rFonts w:ascii="Arial" w:eastAsia="Calibri" w:hAnsi="Arial" w:cs="Arial"/>
                <w:color w:val="000000"/>
                <w:sz w:val="20"/>
                <w:szCs w:val="20"/>
              </w:rPr>
            </w:pPr>
          </w:p>
        </w:tc>
        <w:tc>
          <w:tcPr>
            <w:tcW w:w="2239" w:type="dxa"/>
            <w:vMerge/>
            <w:shd w:val="clear" w:color="auto" w:fill="auto"/>
          </w:tcPr>
          <w:p w:rsidR="001921B5" w:rsidRPr="00ED5D53" w:rsidRDefault="001921B5" w:rsidP="00350A45">
            <w:pPr>
              <w:autoSpaceDE w:val="0"/>
              <w:autoSpaceDN w:val="0"/>
              <w:adjustRightInd w:val="0"/>
              <w:spacing w:line="240" w:lineRule="auto"/>
              <w:ind w:firstLine="0"/>
              <w:rPr>
                <w:rFonts w:ascii="Arial" w:eastAsia="Calibri" w:hAnsi="Arial" w:cs="Arial"/>
                <w:color w:val="000000"/>
                <w:sz w:val="20"/>
                <w:szCs w:val="20"/>
              </w:rPr>
            </w:pPr>
          </w:p>
        </w:tc>
        <w:tc>
          <w:tcPr>
            <w:tcW w:w="1801" w:type="dxa"/>
            <w:shd w:val="clear" w:color="auto" w:fill="auto"/>
          </w:tcPr>
          <w:p w:rsidR="001921B5" w:rsidRPr="00ED5D53" w:rsidRDefault="001921B5" w:rsidP="00350A45">
            <w:pPr>
              <w:autoSpaceDE w:val="0"/>
              <w:autoSpaceDN w:val="0"/>
              <w:adjustRightInd w:val="0"/>
              <w:spacing w:line="240" w:lineRule="auto"/>
              <w:ind w:right="60" w:firstLine="0"/>
              <w:rPr>
                <w:rFonts w:ascii="Arial" w:eastAsia="Calibri" w:hAnsi="Arial" w:cs="Arial"/>
                <w:color w:val="000000"/>
                <w:sz w:val="20"/>
                <w:szCs w:val="20"/>
              </w:rPr>
            </w:pPr>
            <w:r w:rsidRPr="00ED5D53">
              <w:rPr>
                <w:rFonts w:ascii="Arial" w:eastAsia="Calibri" w:hAnsi="Arial" w:cs="Arial"/>
                <w:color w:val="000000"/>
                <w:sz w:val="20"/>
                <w:szCs w:val="20"/>
              </w:rPr>
              <w:t>N</w:t>
            </w:r>
          </w:p>
        </w:tc>
        <w:tc>
          <w:tcPr>
            <w:tcW w:w="1542" w:type="dxa"/>
            <w:shd w:val="clear" w:color="auto" w:fill="auto"/>
          </w:tcPr>
          <w:p w:rsidR="001921B5" w:rsidRPr="00ED5D53" w:rsidRDefault="001921B5" w:rsidP="00350A45">
            <w:pPr>
              <w:autoSpaceDE w:val="0"/>
              <w:autoSpaceDN w:val="0"/>
              <w:adjustRightInd w:val="0"/>
              <w:spacing w:line="240" w:lineRule="auto"/>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163</w:t>
            </w:r>
          </w:p>
        </w:tc>
        <w:tc>
          <w:tcPr>
            <w:tcW w:w="1684" w:type="dxa"/>
            <w:shd w:val="clear" w:color="auto" w:fill="auto"/>
          </w:tcPr>
          <w:p w:rsidR="001921B5" w:rsidRPr="00ED5D53" w:rsidRDefault="001921B5" w:rsidP="00350A45">
            <w:pPr>
              <w:autoSpaceDE w:val="0"/>
              <w:autoSpaceDN w:val="0"/>
              <w:adjustRightInd w:val="0"/>
              <w:spacing w:line="240" w:lineRule="auto"/>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163</w:t>
            </w:r>
          </w:p>
        </w:tc>
      </w:tr>
      <w:tr w:rsidR="001921B5" w:rsidRPr="00ED5D53" w:rsidTr="004F3748">
        <w:trPr>
          <w:cantSplit/>
          <w:trHeight w:val="260"/>
        </w:trPr>
        <w:tc>
          <w:tcPr>
            <w:tcW w:w="1712" w:type="dxa"/>
            <w:vMerge/>
            <w:shd w:val="clear" w:color="auto" w:fill="auto"/>
          </w:tcPr>
          <w:p w:rsidR="001921B5" w:rsidRPr="00ED5D53" w:rsidRDefault="001921B5" w:rsidP="00350A45">
            <w:pPr>
              <w:autoSpaceDE w:val="0"/>
              <w:autoSpaceDN w:val="0"/>
              <w:adjustRightInd w:val="0"/>
              <w:spacing w:line="240" w:lineRule="auto"/>
              <w:ind w:firstLine="0"/>
              <w:rPr>
                <w:rFonts w:ascii="Arial" w:eastAsia="Calibri" w:hAnsi="Arial" w:cs="Arial"/>
                <w:color w:val="000000"/>
                <w:sz w:val="20"/>
                <w:szCs w:val="20"/>
              </w:rPr>
            </w:pPr>
          </w:p>
        </w:tc>
        <w:tc>
          <w:tcPr>
            <w:tcW w:w="2239" w:type="dxa"/>
            <w:vMerge w:val="restart"/>
            <w:shd w:val="clear" w:color="auto" w:fill="auto"/>
          </w:tcPr>
          <w:p w:rsidR="001921B5" w:rsidRPr="00ED5D53" w:rsidRDefault="001921B5" w:rsidP="00350A4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DELITO DE FEMINICIDIO</w:t>
            </w:r>
          </w:p>
        </w:tc>
        <w:tc>
          <w:tcPr>
            <w:tcW w:w="1801" w:type="dxa"/>
            <w:shd w:val="clear" w:color="auto" w:fill="auto"/>
          </w:tcPr>
          <w:p w:rsidR="001921B5" w:rsidRPr="00ED5D53" w:rsidRDefault="001921B5" w:rsidP="00350A45">
            <w:pPr>
              <w:autoSpaceDE w:val="0"/>
              <w:autoSpaceDN w:val="0"/>
              <w:adjustRightInd w:val="0"/>
              <w:spacing w:line="240" w:lineRule="auto"/>
              <w:ind w:right="60" w:firstLine="0"/>
              <w:rPr>
                <w:rFonts w:ascii="Arial" w:eastAsia="Calibri" w:hAnsi="Arial" w:cs="Arial"/>
                <w:color w:val="000000"/>
                <w:sz w:val="20"/>
                <w:szCs w:val="20"/>
              </w:rPr>
            </w:pPr>
            <w:r w:rsidRPr="00ED5D53">
              <w:rPr>
                <w:rFonts w:ascii="Arial" w:eastAsia="Calibri" w:hAnsi="Arial" w:cs="Arial"/>
                <w:color w:val="000000"/>
                <w:sz w:val="20"/>
                <w:szCs w:val="20"/>
              </w:rPr>
              <w:t>Coeficiente de correlación</w:t>
            </w:r>
          </w:p>
        </w:tc>
        <w:tc>
          <w:tcPr>
            <w:tcW w:w="1542" w:type="dxa"/>
            <w:shd w:val="clear" w:color="auto" w:fill="auto"/>
          </w:tcPr>
          <w:p w:rsidR="001921B5" w:rsidRPr="00ED5D53" w:rsidRDefault="001921B5" w:rsidP="00350A45">
            <w:pPr>
              <w:autoSpaceDE w:val="0"/>
              <w:autoSpaceDN w:val="0"/>
              <w:adjustRightInd w:val="0"/>
              <w:spacing w:line="240" w:lineRule="auto"/>
              <w:ind w:right="62" w:firstLine="0"/>
              <w:jc w:val="center"/>
              <w:rPr>
                <w:rFonts w:ascii="Arial" w:eastAsia="Calibri" w:hAnsi="Arial" w:cs="Arial"/>
                <w:color w:val="000000"/>
                <w:sz w:val="20"/>
                <w:szCs w:val="20"/>
              </w:rPr>
            </w:pPr>
            <w:r w:rsidRPr="00ED5D53">
              <w:rPr>
                <w:rFonts w:ascii="Arial" w:eastAsia="Calibri" w:hAnsi="Arial" w:cs="Arial"/>
                <w:color w:val="000000"/>
                <w:sz w:val="20"/>
                <w:szCs w:val="20"/>
              </w:rPr>
              <w:t>,852</w:t>
            </w:r>
            <w:r w:rsidRPr="00ED5D53">
              <w:rPr>
                <w:rFonts w:ascii="Arial" w:eastAsia="Calibri" w:hAnsi="Arial" w:cs="Arial"/>
                <w:color w:val="000000"/>
                <w:sz w:val="20"/>
                <w:szCs w:val="20"/>
                <w:vertAlign w:val="superscript"/>
              </w:rPr>
              <w:t>**</w:t>
            </w:r>
          </w:p>
        </w:tc>
        <w:tc>
          <w:tcPr>
            <w:tcW w:w="1684" w:type="dxa"/>
            <w:shd w:val="clear" w:color="auto" w:fill="auto"/>
          </w:tcPr>
          <w:p w:rsidR="001921B5" w:rsidRPr="00ED5D53" w:rsidRDefault="001921B5" w:rsidP="00350A45">
            <w:pPr>
              <w:autoSpaceDE w:val="0"/>
              <w:autoSpaceDN w:val="0"/>
              <w:adjustRightInd w:val="0"/>
              <w:spacing w:line="240" w:lineRule="auto"/>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1,000</w:t>
            </w:r>
          </w:p>
        </w:tc>
      </w:tr>
      <w:tr w:rsidR="001921B5" w:rsidRPr="00ED5D53" w:rsidTr="004F3748">
        <w:trPr>
          <w:cantSplit/>
          <w:trHeight w:val="248"/>
        </w:trPr>
        <w:tc>
          <w:tcPr>
            <w:tcW w:w="1712" w:type="dxa"/>
            <w:vMerge/>
            <w:shd w:val="clear" w:color="auto" w:fill="auto"/>
          </w:tcPr>
          <w:p w:rsidR="001921B5" w:rsidRPr="00ED5D53" w:rsidRDefault="001921B5" w:rsidP="00350A45">
            <w:pPr>
              <w:autoSpaceDE w:val="0"/>
              <w:autoSpaceDN w:val="0"/>
              <w:adjustRightInd w:val="0"/>
              <w:spacing w:line="240" w:lineRule="auto"/>
              <w:rPr>
                <w:rFonts w:ascii="Arial" w:eastAsia="Calibri" w:hAnsi="Arial" w:cs="Arial"/>
                <w:color w:val="000000"/>
                <w:sz w:val="20"/>
                <w:szCs w:val="20"/>
              </w:rPr>
            </w:pPr>
          </w:p>
        </w:tc>
        <w:tc>
          <w:tcPr>
            <w:tcW w:w="2239" w:type="dxa"/>
            <w:vMerge/>
            <w:shd w:val="clear" w:color="auto" w:fill="auto"/>
          </w:tcPr>
          <w:p w:rsidR="001921B5" w:rsidRPr="00ED5D53" w:rsidRDefault="001921B5" w:rsidP="00350A45">
            <w:pPr>
              <w:autoSpaceDE w:val="0"/>
              <w:autoSpaceDN w:val="0"/>
              <w:adjustRightInd w:val="0"/>
              <w:spacing w:line="240" w:lineRule="auto"/>
              <w:rPr>
                <w:rFonts w:ascii="Arial" w:eastAsia="Calibri" w:hAnsi="Arial" w:cs="Arial"/>
                <w:color w:val="000000"/>
                <w:sz w:val="20"/>
                <w:szCs w:val="20"/>
              </w:rPr>
            </w:pPr>
          </w:p>
        </w:tc>
        <w:tc>
          <w:tcPr>
            <w:tcW w:w="1801" w:type="dxa"/>
            <w:shd w:val="clear" w:color="auto" w:fill="auto"/>
          </w:tcPr>
          <w:p w:rsidR="001921B5" w:rsidRPr="00ED5D53" w:rsidRDefault="001921B5" w:rsidP="00350A45">
            <w:pPr>
              <w:autoSpaceDE w:val="0"/>
              <w:autoSpaceDN w:val="0"/>
              <w:adjustRightInd w:val="0"/>
              <w:spacing w:line="240" w:lineRule="auto"/>
              <w:ind w:right="62" w:firstLine="0"/>
              <w:rPr>
                <w:rFonts w:ascii="Arial" w:eastAsia="Calibri" w:hAnsi="Arial" w:cs="Arial"/>
                <w:color w:val="000000"/>
                <w:sz w:val="20"/>
                <w:szCs w:val="20"/>
              </w:rPr>
            </w:pPr>
            <w:r w:rsidRPr="00ED5D53">
              <w:rPr>
                <w:rFonts w:ascii="Arial" w:eastAsia="Calibri" w:hAnsi="Arial" w:cs="Arial"/>
                <w:color w:val="000000"/>
                <w:sz w:val="20"/>
                <w:szCs w:val="20"/>
              </w:rPr>
              <w:t>Sig. (bilateral)</w:t>
            </w:r>
          </w:p>
        </w:tc>
        <w:tc>
          <w:tcPr>
            <w:tcW w:w="1542" w:type="dxa"/>
            <w:shd w:val="clear" w:color="auto" w:fill="auto"/>
          </w:tcPr>
          <w:p w:rsidR="001921B5" w:rsidRPr="00ED5D53" w:rsidRDefault="001921B5" w:rsidP="00350A45">
            <w:pPr>
              <w:autoSpaceDE w:val="0"/>
              <w:autoSpaceDN w:val="0"/>
              <w:adjustRightInd w:val="0"/>
              <w:spacing w:line="240" w:lineRule="auto"/>
              <w:ind w:right="62" w:firstLine="0"/>
              <w:jc w:val="center"/>
              <w:rPr>
                <w:rFonts w:ascii="Arial" w:eastAsia="Calibri" w:hAnsi="Arial" w:cs="Arial"/>
                <w:color w:val="000000"/>
                <w:sz w:val="20"/>
                <w:szCs w:val="20"/>
              </w:rPr>
            </w:pPr>
            <w:r w:rsidRPr="00ED5D53">
              <w:rPr>
                <w:rFonts w:ascii="Arial" w:eastAsia="Calibri" w:hAnsi="Arial" w:cs="Arial"/>
                <w:color w:val="000000"/>
                <w:sz w:val="20"/>
                <w:szCs w:val="20"/>
              </w:rPr>
              <w:t>,000</w:t>
            </w:r>
          </w:p>
        </w:tc>
        <w:tc>
          <w:tcPr>
            <w:tcW w:w="1684" w:type="dxa"/>
            <w:shd w:val="clear" w:color="auto" w:fill="auto"/>
          </w:tcPr>
          <w:p w:rsidR="001921B5" w:rsidRPr="00ED5D53" w:rsidRDefault="001921B5" w:rsidP="00350A45">
            <w:pPr>
              <w:autoSpaceDE w:val="0"/>
              <w:autoSpaceDN w:val="0"/>
              <w:adjustRightInd w:val="0"/>
              <w:spacing w:line="240" w:lineRule="auto"/>
              <w:ind w:right="62" w:firstLine="0"/>
              <w:jc w:val="center"/>
              <w:rPr>
                <w:rFonts w:ascii="Arial" w:eastAsia="Calibri" w:hAnsi="Arial" w:cs="Arial"/>
                <w:color w:val="000000"/>
                <w:sz w:val="20"/>
                <w:szCs w:val="20"/>
              </w:rPr>
            </w:pPr>
            <w:r w:rsidRPr="00ED5D53">
              <w:rPr>
                <w:rFonts w:ascii="Arial" w:eastAsia="Calibri" w:hAnsi="Arial" w:cs="Arial"/>
                <w:color w:val="000000"/>
                <w:sz w:val="20"/>
                <w:szCs w:val="20"/>
              </w:rPr>
              <w:t>.</w:t>
            </w:r>
          </w:p>
        </w:tc>
      </w:tr>
      <w:tr w:rsidR="001921B5" w:rsidRPr="00ED5D53" w:rsidTr="004F3748">
        <w:trPr>
          <w:cantSplit/>
          <w:trHeight w:val="105"/>
        </w:trPr>
        <w:tc>
          <w:tcPr>
            <w:tcW w:w="1712" w:type="dxa"/>
            <w:vMerge/>
            <w:shd w:val="clear" w:color="auto" w:fill="auto"/>
          </w:tcPr>
          <w:p w:rsidR="001921B5" w:rsidRPr="00ED5D53" w:rsidRDefault="001921B5" w:rsidP="00350A45">
            <w:pPr>
              <w:autoSpaceDE w:val="0"/>
              <w:autoSpaceDN w:val="0"/>
              <w:adjustRightInd w:val="0"/>
              <w:spacing w:line="240" w:lineRule="auto"/>
              <w:rPr>
                <w:rFonts w:ascii="Arial" w:eastAsia="Calibri" w:hAnsi="Arial" w:cs="Arial"/>
                <w:color w:val="000000"/>
                <w:sz w:val="20"/>
                <w:szCs w:val="20"/>
              </w:rPr>
            </w:pPr>
          </w:p>
        </w:tc>
        <w:tc>
          <w:tcPr>
            <w:tcW w:w="2239" w:type="dxa"/>
            <w:vMerge/>
            <w:shd w:val="clear" w:color="auto" w:fill="auto"/>
          </w:tcPr>
          <w:p w:rsidR="001921B5" w:rsidRPr="00ED5D53" w:rsidRDefault="001921B5" w:rsidP="00350A45">
            <w:pPr>
              <w:autoSpaceDE w:val="0"/>
              <w:autoSpaceDN w:val="0"/>
              <w:adjustRightInd w:val="0"/>
              <w:spacing w:line="240" w:lineRule="auto"/>
              <w:rPr>
                <w:rFonts w:ascii="Arial" w:eastAsia="Calibri" w:hAnsi="Arial" w:cs="Arial"/>
                <w:color w:val="000000"/>
                <w:sz w:val="20"/>
                <w:szCs w:val="20"/>
              </w:rPr>
            </w:pPr>
          </w:p>
        </w:tc>
        <w:tc>
          <w:tcPr>
            <w:tcW w:w="1801" w:type="dxa"/>
            <w:shd w:val="clear" w:color="auto" w:fill="auto"/>
          </w:tcPr>
          <w:p w:rsidR="001921B5" w:rsidRPr="00ED5D53" w:rsidRDefault="001921B5" w:rsidP="00350A45">
            <w:pPr>
              <w:autoSpaceDE w:val="0"/>
              <w:autoSpaceDN w:val="0"/>
              <w:adjustRightInd w:val="0"/>
              <w:spacing w:line="240" w:lineRule="auto"/>
              <w:ind w:right="62" w:firstLine="0"/>
              <w:rPr>
                <w:rFonts w:ascii="Arial" w:eastAsia="Calibri" w:hAnsi="Arial" w:cs="Arial"/>
                <w:color w:val="000000"/>
                <w:sz w:val="20"/>
                <w:szCs w:val="20"/>
              </w:rPr>
            </w:pPr>
            <w:r w:rsidRPr="00ED5D53">
              <w:rPr>
                <w:rFonts w:ascii="Arial" w:eastAsia="Calibri" w:hAnsi="Arial" w:cs="Arial"/>
                <w:color w:val="000000"/>
                <w:sz w:val="20"/>
                <w:szCs w:val="20"/>
              </w:rPr>
              <w:t>N</w:t>
            </w:r>
          </w:p>
        </w:tc>
        <w:tc>
          <w:tcPr>
            <w:tcW w:w="1542" w:type="dxa"/>
            <w:shd w:val="clear" w:color="auto" w:fill="auto"/>
          </w:tcPr>
          <w:p w:rsidR="001921B5" w:rsidRPr="00ED5D53" w:rsidRDefault="001921B5" w:rsidP="00350A45">
            <w:pPr>
              <w:autoSpaceDE w:val="0"/>
              <w:autoSpaceDN w:val="0"/>
              <w:adjustRightInd w:val="0"/>
              <w:spacing w:line="240" w:lineRule="auto"/>
              <w:ind w:right="62" w:firstLine="0"/>
              <w:jc w:val="center"/>
              <w:rPr>
                <w:rFonts w:ascii="Arial" w:eastAsia="Calibri" w:hAnsi="Arial" w:cs="Arial"/>
                <w:color w:val="000000"/>
                <w:sz w:val="20"/>
                <w:szCs w:val="20"/>
              </w:rPr>
            </w:pPr>
            <w:r w:rsidRPr="00ED5D53">
              <w:rPr>
                <w:rFonts w:ascii="Arial" w:eastAsia="Calibri" w:hAnsi="Arial" w:cs="Arial"/>
                <w:color w:val="000000"/>
                <w:sz w:val="20"/>
                <w:szCs w:val="20"/>
              </w:rPr>
              <w:t>163</w:t>
            </w:r>
          </w:p>
        </w:tc>
        <w:tc>
          <w:tcPr>
            <w:tcW w:w="1684" w:type="dxa"/>
            <w:shd w:val="clear" w:color="auto" w:fill="auto"/>
          </w:tcPr>
          <w:p w:rsidR="001921B5" w:rsidRPr="00ED5D53" w:rsidRDefault="001921B5" w:rsidP="00350A45">
            <w:pPr>
              <w:autoSpaceDE w:val="0"/>
              <w:autoSpaceDN w:val="0"/>
              <w:adjustRightInd w:val="0"/>
              <w:spacing w:line="240" w:lineRule="auto"/>
              <w:ind w:right="62" w:firstLine="0"/>
              <w:jc w:val="center"/>
              <w:rPr>
                <w:rFonts w:ascii="Arial" w:eastAsia="Calibri" w:hAnsi="Arial" w:cs="Arial"/>
                <w:color w:val="000000"/>
                <w:sz w:val="20"/>
                <w:szCs w:val="20"/>
              </w:rPr>
            </w:pPr>
            <w:r w:rsidRPr="00ED5D53">
              <w:rPr>
                <w:rFonts w:ascii="Arial" w:eastAsia="Calibri" w:hAnsi="Arial" w:cs="Arial"/>
                <w:color w:val="000000"/>
                <w:sz w:val="20"/>
                <w:szCs w:val="20"/>
              </w:rPr>
              <w:t>163</w:t>
            </w:r>
          </w:p>
        </w:tc>
      </w:tr>
      <w:tr w:rsidR="001921B5" w:rsidRPr="00ED5D53" w:rsidTr="00350A45">
        <w:trPr>
          <w:cantSplit/>
          <w:trHeight w:val="75"/>
        </w:trPr>
        <w:tc>
          <w:tcPr>
            <w:tcW w:w="8978" w:type="dxa"/>
            <w:gridSpan w:val="5"/>
            <w:shd w:val="clear" w:color="auto" w:fill="auto"/>
          </w:tcPr>
          <w:p w:rsidR="001921B5" w:rsidRPr="00ED5D53" w:rsidRDefault="001921B5" w:rsidP="00350A45">
            <w:pPr>
              <w:autoSpaceDE w:val="0"/>
              <w:autoSpaceDN w:val="0"/>
              <w:adjustRightInd w:val="0"/>
              <w:spacing w:line="240" w:lineRule="auto"/>
              <w:ind w:right="60"/>
              <w:rPr>
                <w:rFonts w:ascii="Arial" w:eastAsia="Calibri" w:hAnsi="Arial" w:cs="Arial"/>
                <w:color w:val="000000"/>
                <w:sz w:val="20"/>
                <w:szCs w:val="20"/>
              </w:rPr>
            </w:pPr>
            <w:r w:rsidRPr="00ED5D53">
              <w:rPr>
                <w:rFonts w:ascii="Arial" w:eastAsia="Calibri" w:hAnsi="Arial" w:cs="Arial"/>
                <w:color w:val="000000"/>
                <w:sz w:val="20"/>
                <w:szCs w:val="20"/>
              </w:rPr>
              <w:t>**. La correlación es significativa en el nivel 0,01 (bilateral).</w:t>
            </w:r>
          </w:p>
        </w:tc>
      </w:tr>
    </w:tbl>
    <w:p w:rsidR="001921B5" w:rsidRPr="00ED5D53" w:rsidRDefault="001921B5" w:rsidP="00350A45">
      <w:pPr>
        <w:keepNext/>
        <w:keepLines/>
        <w:spacing w:line="240" w:lineRule="auto"/>
        <w:ind w:firstLine="0"/>
        <w:jc w:val="left"/>
        <w:outlineLvl w:val="3"/>
        <w:rPr>
          <w:rFonts w:ascii="Arial" w:eastAsia="Times New Roman" w:hAnsi="Arial" w:cs="Arial"/>
          <w:i/>
          <w:iCs/>
          <w:sz w:val="20"/>
          <w:szCs w:val="20"/>
        </w:rPr>
      </w:pPr>
      <w:bookmarkStart w:id="4" w:name="_Toc93258180"/>
      <w:r w:rsidRPr="00ED5D53">
        <w:rPr>
          <w:rFonts w:ascii="Arial" w:eastAsia="Times New Roman" w:hAnsi="Arial" w:cs="Arial"/>
          <w:b/>
          <w:bCs/>
          <w:sz w:val="20"/>
          <w:szCs w:val="20"/>
        </w:rPr>
        <w:t xml:space="preserve">Tabla </w:t>
      </w:r>
      <w:r w:rsidR="00E60FC0" w:rsidRPr="00ED5D53">
        <w:rPr>
          <w:rFonts w:ascii="Arial" w:eastAsia="Times New Roman" w:hAnsi="Arial" w:cs="Arial"/>
          <w:b/>
          <w:bCs/>
          <w:sz w:val="20"/>
          <w:szCs w:val="20"/>
        </w:rPr>
        <w:fldChar w:fldCharType="begin"/>
      </w:r>
      <w:r w:rsidRPr="00ED5D53">
        <w:rPr>
          <w:rFonts w:ascii="Arial" w:eastAsia="Times New Roman" w:hAnsi="Arial" w:cs="Arial"/>
          <w:b/>
          <w:bCs/>
          <w:sz w:val="20"/>
          <w:szCs w:val="20"/>
        </w:rPr>
        <w:instrText xml:space="preserve"> SEQ Tabla \* ARABIC </w:instrText>
      </w:r>
      <w:r w:rsidR="00E60FC0" w:rsidRPr="00ED5D53">
        <w:rPr>
          <w:rFonts w:ascii="Arial" w:eastAsia="Times New Roman" w:hAnsi="Arial" w:cs="Arial"/>
          <w:b/>
          <w:bCs/>
          <w:sz w:val="20"/>
          <w:szCs w:val="20"/>
        </w:rPr>
        <w:fldChar w:fldCharType="separate"/>
      </w:r>
      <w:r w:rsidRPr="00ED5D53">
        <w:rPr>
          <w:rFonts w:ascii="Arial" w:eastAsia="Times New Roman" w:hAnsi="Arial" w:cs="Arial"/>
          <w:b/>
          <w:bCs/>
          <w:noProof/>
          <w:sz w:val="20"/>
          <w:szCs w:val="20"/>
        </w:rPr>
        <w:t>1</w:t>
      </w:r>
      <w:r w:rsidR="00E60FC0" w:rsidRPr="00ED5D53">
        <w:rPr>
          <w:rFonts w:ascii="Arial" w:eastAsia="Times New Roman" w:hAnsi="Arial" w:cs="Arial"/>
          <w:b/>
          <w:bCs/>
          <w:sz w:val="20"/>
          <w:szCs w:val="20"/>
        </w:rPr>
        <w:fldChar w:fldCharType="end"/>
      </w:r>
      <w:r w:rsidRPr="00ED5D53">
        <w:rPr>
          <w:rFonts w:ascii="Arial" w:eastAsia="Times New Roman" w:hAnsi="Arial" w:cs="Arial"/>
          <w:b/>
          <w:bCs/>
          <w:sz w:val="20"/>
          <w:szCs w:val="20"/>
        </w:rPr>
        <w:br/>
      </w:r>
      <w:r w:rsidRPr="00ED5D53">
        <w:rPr>
          <w:rFonts w:ascii="Arial" w:eastAsia="Times New Roman" w:hAnsi="Arial" w:cs="Arial"/>
          <w:i/>
          <w:iCs/>
          <w:sz w:val="20"/>
          <w:szCs w:val="20"/>
        </w:rPr>
        <w:t>Correlación entre la Violencia familiar y Delito de Feminicidio</w:t>
      </w:r>
      <w:bookmarkEnd w:id="4"/>
      <w:r w:rsidRPr="00ED5D53">
        <w:rPr>
          <w:rFonts w:ascii="Arial" w:eastAsia="Times New Roman" w:hAnsi="Arial" w:cs="Arial"/>
          <w:i/>
          <w:iCs/>
          <w:color w:val="000000"/>
          <w:sz w:val="20"/>
          <w:szCs w:val="20"/>
        </w:rPr>
        <w:tab/>
      </w:r>
      <w:r w:rsidRPr="00ED5D53">
        <w:rPr>
          <w:rFonts w:ascii="Arial" w:eastAsia="Times New Roman" w:hAnsi="Arial" w:cs="Arial"/>
          <w:i/>
          <w:iCs/>
          <w:color w:val="000000"/>
          <w:sz w:val="20"/>
          <w:szCs w:val="20"/>
        </w:rPr>
        <w:tab/>
      </w:r>
      <w:r w:rsidRPr="00ED5D53">
        <w:rPr>
          <w:rFonts w:ascii="Arial" w:eastAsia="Times New Roman" w:hAnsi="Arial" w:cs="Arial"/>
          <w:i/>
          <w:iCs/>
          <w:color w:val="000000"/>
          <w:sz w:val="20"/>
          <w:szCs w:val="20"/>
        </w:rPr>
        <w:tab/>
      </w:r>
      <w:r w:rsidRPr="00ED5D53">
        <w:rPr>
          <w:rFonts w:ascii="Arial" w:eastAsia="Times New Roman" w:hAnsi="Arial" w:cs="Arial"/>
          <w:i/>
          <w:iCs/>
          <w:color w:val="000000"/>
          <w:sz w:val="20"/>
          <w:szCs w:val="20"/>
        </w:rPr>
        <w:tab/>
      </w:r>
      <w:r w:rsidRPr="00ED5D53">
        <w:rPr>
          <w:rFonts w:ascii="Arial" w:eastAsia="Times New Roman" w:hAnsi="Arial" w:cs="Arial"/>
          <w:i/>
          <w:iCs/>
          <w:color w:val="000000"/>
          <w:sz w:val="20"/>
          <w:szCs w:val="20"/>
        </w:rPr>
        <w:tab/>
      </w:r>
      <w:r w:rsidRPr="00ED5D53">
        <w:rPr>
          <w:rFonts w:ascii="Arial" w:eastAsia="Times New Roman" w:hAnsi="Arial" w:cs="Arial"/>
          <w:i/>
          <w:iCs/>
          <w:color w:val="000000"/>
          <w:sz w:val="20"/>
          <w:szCs w:val="20"/>
        </w:rPr>
        <w:tab/>
      </w:r>
    </w:p>
    <w:p w:rsidR="007A5D6B" w:rsidRPr="00ED5D53" w:rsidRDefault="001921B5" w:rsidP="007A5D6B">
      <w:pPr>
        <w:autoSpaceDE w:val="0"/>
        <w:autoSpaceDN w:val="0"/>
        <w:adjustRightInd w:val="0"/>
        <w:spacing w:line="240" w:lineRule="auto"/>
        <w:rPr>
          <w:rFonts w:ascii="Arial" w:eastAsia="Calibri" w:hAnsi="Arial" w:cs="Arial"/>
          <w:color w:val="000000"/>
          <w:sz w:val="20"/>
          <w:szCs w:val="20"/>
        </w:rPr>
      </w:pPr>
      <w:r w:rsidRPr="00ED5D53">
        <w:rPr>
          <w:rFonts w:ascii="Arial" w:eastAsia="Calibri" w:hAnsi="Arial" w:cs="Arial"/>
          <w:color w:val="000000"/>
          <w:sz w:val="20"/>
          <w:szCs w:val="20"/>
        </w:rPr>
        <w:t>En esta tabla se muestran los resultados de las dos variables relacionadas, Violencia familiar y Delito de feminicidio, el nivel de significación es menor al 0.05 y el coeficiente de correlación del 85.2%, es alta, lo que demuestra una alta relación o asociatividad entre las variables estudiadas.</w:t>
      </w:r>
      <w:r w:rsidR="007A5D6B" w:rsidRPr="00ED5D53">
        <w:rPr>
          <w:rFonts w:ascii="Arial" w:eastAsia="Calibri" w:hAnsi="Arial" w:cs="Arial"/>
          <w:color w:val="000000"/>
          <w:sz w:val="20"/>
          <w:szCs w:val="20"/>
        </w:rPr>
        <w:t xml:space="preserve"> </w:t>
      </w:r>
      <w:bookmarkStart w:id="5" w:name="_Toc93258181"/>
    </w:p>
    <w:p w:rsidR="007A5D6B" w:rsidRPr="00ED5D53" w:rsidRDefault="007A5D6B" w:rsidP="007A5D6B">
      <w:pPr>
        <w:autoSpaceDE w:val="0"/>
        <w:autoSpaceDN w:val="0"/>
        <w:adjustRightInd w:val="0"/>
        <w:spacing w:line="240" w:lineRule="auto"/>
        <w:rPr>
          <w:rFonts w:ascii="Arial" w:eastAsia="Calibri" w:hAnsi="Arial" w:cs="Arial"/>
          <w:color w:val="000000"/>
          <w:sz w:val="20"/>
          <w:szCs w:val="20"/>
        </w:rPr>
      </w:pPr>
    </w:p>
    <w:p w:rsidR="001921B5" w:rsidRPr="00ED5D53" w:rsidRDefault="001921B5" w:rsidP="007A5D6B">
      <w:pPr>
        <w:autoSpaceDE w:val="0"/>
        <w:autoSpaceDN w:val="0"/>
        <w:adjustRightInd w:val="0"/>
        <w:spacing w:line="240" w:lineRule="auto"/>
        <w:rPr>
          <w:rFonts w:ascii="Arial" w:eastAsia="Times New Roman" w:hAnsi="Arial" w:cs="Arial"/>
          <w:i/>
          <w:iCs/>
          <w:sz w:val="20"/>
          <w:szCs w:val="20"/>
        </w:rPr>
      </w:pPr>
      <w:r w:rsidRPr="00ED5D53">
        <w:rPr>
          <w:rFonts w:ascii="Arial" w:eastAsia="Times New Roman" w:hAnsi="Arial" w:cs="Arial"/>
          <w:b/>
          <w:bCs/>
          <w:sz w:val="20"/>
          <w:szCs w:val="20"/>
        </w:rPr>
        <w:t xml:space="preserve">Tabla </w:t>
      </w:r>
      <w:r w:rsidR="00E60FC0" w:rsidRPr="00ED5D53">
        <w:rPr>
          <w:rFonts w:ascii="Arial" w:eastAsia="Times New Roman" w:hAnsi="Arial" w:cs="Arial"/>
          <w:b/>
          <w:bCs/>
          <w:sz w:val="20"/>
          <w:szCs w:val="20"/>
        </w:rPr>
        <w:fldChar w:fldCharType="begin"/>
      </w:r>
      <w:r w:rsidRPr="00ED5D53">
        <w:rPr>
          <w:rFonts w:ascii="Arial" w:eastAsia="Times New Roman" w:hAnsi="Arial" w:cs="Arial"/>
          <w:b/>
          <w:bCs/>
          <w:sz w:val="20"/>
          <w:szCs w:val="20"/>
        </w:rPr>
        <w:instrText xml:space="preserve"> SEQ Tabla \* ARABIC </w:instrText>
      </w:r>
      <w:r w:rsidR="00E60FC0" w:rsidRPr="00ED5D53">
        <w:rPr>
          <w:rFonts w:ascii="Arial" w:eastAsia="Times New Roman" w:hAnsi="Arial" w:cs="Arial"/>
          <w:b/>
          <w:bCs/>
          <w:sz w:val="20"/>
          <w:szCs w:val="20"/>
        </w:rPr>
        <w:fldChar w:fldCharType="separate"/>
      </w:r>
      <w:r w:rsidRPr="00ED5D53">
        <w:rPr>
          <w:rFonts w:ascii="Arial" w:eastAsia="Times New Roman" w:hAnsi="Arial" w:cs="Arial"/>
          <w:b/>
          <w:bCs/>
          <w:noProof/>
          <w:sz w:val="20"/>
          <w:szCs w:val="20"/>
        </w:rPr>
        <w:t>2</w:t>
      </w:r>
      <w:r w:rsidR="00E60FC0" w:rsidRPr="00ED5D53">
        <w:rPr>
          <w:rFonts w:ascii="Arial" w:eastAsia="Times New Roman" w:hAnsi="Arial" w:cs="Arial"/>
          <w:b/>
          <w:bCs/>
          <w:sz w:val="20"/>
          <w:szCs w:val="20"/>
        </w:rPr>
        <w:fldChar w:fldCharType="end"/>
      </w:r>
      <w:r w:rsidRPr="00ED5D53">
        <w:rPr>
          <w:rFonts w:ascii="Arial" w:eastAsia="Times New Roman" w:hAnsi="Arial" w:cs="Arial"/>
          <w:i/>
          <w:iCs/>
          <w:sz w:val="20"/>
          <w:szCs w:val="20"/>
        </w:rPr>
        <w:br/>
        <w:t>Correlación entre las Dimensiones de la Violencia familiar con el Delito de Feminicidio</w:t>
      </w:r>
      <w:bookmarkEnd w:id="5"/>
    </w:p>
    <w:tbl>
      <w:tblPr>
        <w:tblW w:w="9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746"/>
      </w:tblGrid>
      <w:tr w:rsidR="001921B5" w:rsidRPr="00ED5D53" w:rsidTr="004F3748">
        <w:trPr>
          <w:cantSplit/>
        </w:trPr>
        <w:tc>
          <w:tcPr>
            <w:tcW w:w="9746" w:type="dxa"/>
            <w:tcBorders>
              <w:top w:val="nil"/>
              <w:left w:val="nil"/>
              <w:bottom w:val="nil"/>
              <w:right w:val="nil"/>
            </w:tcBorders>
            <w:shd w:val="clear" w:color="auto" w:fill="FFFFFF"/>
            <w:vAlign w:val="center"/>
          </w:tcPr>
          <w:tbl>
            <w:tblPr>
              <w:tblW w:w="8999" w:type="dxa"/>
              <w:tblBorders>
                <w:top w:val="single" w:sz="4" w:space="0" w:color="auto"/>
                <w:bottom w:val="single" w:sz="4" w:space="0" w:color="auto"/>
              </w:tblBorders>
              <w:tblLayout w:type="fixed"/>
              <w:tblCellMar>
                <w:left w:w="0" w:type="dxa"/>
                <w:right w:w="0" w:type="dxa"/>
              </w:tblCellMar>
              <w:tblLook w:val="0000"/>
            </w:tblPr>
            <w:tblGrid>
              <w:gridCol w:w="1038"/>
              <w:gridCol w:w="1686"/>
              <w:gridCol w:w="1597"/>
              <w:gridCol w:w="1428"/>
              <w:gridCol w:w="1686"/>
              <w:gridCol w:w="1564"/>
            </w:tblGrid>
            <w:tr w:rsidR="001921B5" w:rsidRPr="00ED5D53" w:rsidTr="007A5D6B">
              <w:trPr>
                <w:cantSplit/>
                <w:trHeight w:val="607"/>
              </w:trPr>
              <w:tc>
                <w:tcPr>
                  <w:tcW w:w="4321" w:type="dxa"/>
                  <w:gridSpan w:val="3"/>
                  <w:tcBorders>
                    <w:top w:val="single" w:sz="4" w:space="0" w:color="auto"/>
                    <w:bottom w:val="single" w:sz="4" w:space="0" w:color="auto"/>
                  </w:tcBorders>
                  <w:shd w:val="clear" w:color="auto" w:fill="auto"/>
                  <w:vAlign w:val="bottom"/>
                </w:tcPr>
                <w:p w:rsidR="001921B5" w:rsidRPr="00ED5D53" w:rsidRDefault="001921B5" w:rsidP="001921B5">
                  <w:pPr>
                    <w:autoSpaceDE w:val="0"/>
                    <w:autoSpaceDN w:val="0"/>
                    <w:adjustRightInd w:val="0"/>
                    <w:ind w:firstLine="0"/>
                    <w:rPr>
                      <w:rFonts w:ascii="Arial" w:eastAsia="Calibri" w:hAnsi="Arial" w:cs="Arial"/>
                      <w:color w:val="000000"/>
                      <w:sz w:val="20"/>
                      <w:szCs w:val="20"/>
                    </w:rPr>
                  </w:pPr>
                </w:p>
              </w:tc>
              <w:tc>
                <w:tcPr>
                  <w:tcW w:w="1428" w:type="dxa"/>
                  <w:tcBorders>
                    <w:top w:val="single" w:sz="4" w:space="0" w:color="auto"/>
                    <w:bottom w:val="single" w:sz="4" w:space="0" w:color="auto"/>
                  </w:tcBorders>
                  <w:shd w:val="clear" w:color="auto" w:fill="auto"/>
                  <w:vAlign w:val="bottom"/>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VIOLENCIA FÍSICA</w:t>
                  </w:r>
                </w:p>
              </w:tc>
              <w:tc>
                <w:tcPr>
                  <w:tcW w:w="1686" w:type="dxa"/>
                  <w:tcBorders>
                    <w:top w:val="single" w:sz="4" w:space="0" w:color="auto"/>
                    <w:bottom w:val="single" w:sz="4" w:space="0" w:color="auto"/>
                  </w:tcBorders>
                  <w:shd w:val="clear" w:color="auto" w:fill="auto"/>
                  <w:vAlign w:val="bottom"/>
                </w:tcPr>
                <w:p w:rsidR="001921B5" w:rsidRPr="00ED5D53" w:rsidRDefault="001921B5" w:rsidP="001921B5">
                  <w:pPr>
                    <w:autoSpaceDE w:val="0"/>
                    <w:autoSpaceDN w:val="0"/>
                    <w:adjustRightInd w:val="0"/>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VIOLENCIA PSICOLÓGICA</w:t>
                  </w:r>
                </w:p>
              </w:tc>
              <w:tc>
                <w:tcPr>
                  <w:tcW w:w="1562" w:type="dxa"/>
                  <w:tcBorders>
                    <w:top w:val="single" w:sz="4" w:space="0" w:color="auto"/>
                    <w:bottom w:val="single" w:sz="4" w:space="0" w:color="auto"/>
                  </w:tcBorders>
                  <w:shd w:val="clear" w:color="auto" w:fill="auto"/>
                  <w:vAlign w:val="bottom"/>
                </w:tcPr>
                <w:p w:rsidR="001921B5" w:rsidRPr="00ED5D53" w:rsidRDefault="001921B5" w:rsidP="001921B5">
                  <w:pPr>
                    <w:autoSpaceDE w:val="0"/>
                    <w:autoSpaceDN w:val="0"/>
                    <w:adjustRightInd w:val="0"/>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DELITO DE FEMINICIDIO</w:t>
                  </w:r>
                </w:p>
              </w:tc>
            </w:tr>
            <w:tr w:rsidR="001921B5" w:rsidRPr="00ED5D53" w:rsidTr="007A5D6B">
              <w:trPr>
                <w:cantSplit/>
                <w:trHeight w:val="607"/>
              </w:trPr>
              <w:tc>
                <w:tcPr>
                  <w:tcW w:w="1038" w:type="dxa"/>
                  <w:vMerge w:val="restart"/>
                  <w:tcBorders>
                    <w:top w:val="single" w:sz="4" w:space="0" w:color="auto"/>
                  </w:tcBorders>
                  <w:shd w:val="clear" w:color="auto" w:fill="auto"/>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Rho de Spearman</w:t>
                  </w:r>
                </w:p>
              </w:tc>
              <w:tc>
                <w:tcPr>
                  <w:tcW w:w="1686" w:type="dxa"/>
                  <w:vMerge w:val="restart"/>
                  <w:tcBorders>
                    <w:top w:val="single" w:sz="4" w:space="0" w:color="auto"/>
                  </w:tcBorders>
                  <w:shd w:val="clear" w:color="auto" w:fill="auto"/>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VIOLENCIA   FÍSICA</w:t>
                  </w:r>
                </w:p>
              </w:tc>
              <w:tc>
                <w:tcPr>
                  <w:tcW w:w="1596" w:type="dxa"/>
                  <w:tcBorders>
                    <w:top w:val="single" w:sz="4" w:space="0" w:color="auto"/>
                  </w:tcBorders>
                  <w:shd w:val="clear" w:color="auto" w:fill="auto"/>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Coeficiente de correlación</w:t>
                  </w:r>
                </w:p>
              </w:tc>
              <w:tc>
                <w:tcPr>
                  <w:tcW w:w="1428" w:type="dxa"/>
                  <w:tcBorders>
                    <w:top w:val="single" w:sz="4" w:space="0" w:color="auto"/>
                  </w:tcBorders>
                  <w:shd w:val="clear" w:color="auto" w:fill="auto"/>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1,000</w:t>
                  </w:r>
                </w:p>
              </w:tc>
              <w:tc>
                <w:tcPr>
                  <w:tcW w:w="1686" w:type="dxa"/>
                  <w:tcBorders>
                    <w:top w:val="single" w:sz="4" w:space="0" w:color="auto"/>
                  </w:tcBorders>
                  <w:shd w:val="clear" w:color="auto" w:fill="auto"/>
                </w:tcPr>
                <w:p w:rsidR="001921B5" w:rsidRPr="00ED5D53" w:rsidRDefault="001921B5" w:rsidP="001921B5">
                  <w:pPr>
                    <w:autoSpaceDE w:val="0"/>
                    <w:autoSpaceDN w:val="0"/>
                    <w:adjustRightInd w:val="0"/>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,194</w:t>
                  </w:r>
                  <w:r w:rsidRPr="00ED5D53">
                    <w:rPr>
                      <w:rFonts w:ascii="Arial" w:eastAsia="Calibri" w:hAnsi="Arial" w:cs="Arial"/>
                      <w:color w:val="000000"/>
                      <w:sz w:val="20"/>
                      <w:szCs w:val="20"/>
                      <w:vertAlign w:val="superscript"/>
                    </w:rPr>
                    <w:t>*</w:t>
                  </w:r>
                </w:p>
              </w:tc>
              <w:tc>
                <w:tcPr>
                  <w:tcW w:w="1562" w:type="dxa"/>
                  <w:tcBorders>
                    <w:top w:val="single" w:sz="4" w:space="0" w:color="auto"/>
                  </w:tcBorders>
                  <w:shd w:val="clear" w:color="auto" w:fill="auto"/>
                </w:tcPr>
                <w:p w:rsidR="001921B5" w:rsidRPr="00ED5D53" w:rsidRDefault="001921B5" w:rsidP="001921B5">
                  <w:pPr>
                    <w:autoSpaceDE w:val="0"/>
                    <w:autoSpaceDN w:val="0"/>
                    <w:adjustRightInd w:val="0"/>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,501</w:t>
                  </w:r>
                  <w:r w:rsidRPr="00ED5D53">
                    <w:rPr>
                      <w:rFonts w:ascii="Arial" w:eastAsia="Calibri" w:hAnsi="Arial" w:cs="Arial"/>
                      <w:color w:val="000000"/>
                      <w:sz w:val="20"/>
                      <w:szCs w:val="20"/>
                      <w:vertAlign w:val="superscript"/>
                    </w:rPr>
                    <w:t>**</w:t>
                  </w:r>
                </w:p>
              </w:tc>
            </w:tr>
            <w:tr w:rsidR="001921B5" w:rsidRPr="00ED5D53" w:rsidTr="007A5D6B">
              <w:trPr>
                <w:cantSplit/>
                <w:trHeight w:val="324"/>
              </w:trPr>
              <w:tc>
                <w:tcPr>
                  <w:tcW w:w="1038" w:type="dxa"/>
                  <w:vMerge/>
                  <w:shd w:val="clear" w:color="auto" w:fill="auto"/>
                </w:tcPr>
                <w:p w:rsidR="001921B5" w:rsidRPr="00ED5D53" w:rsidRDefault="001921B5" w:rsidP="001921B5">
                  <w:pPr>
                    <w:autoSpaceDE w:val="0"/>
                    <w:autoSpaceDN w:val="0"/>
                    <w:adjustRightInd w:val="0"/>
                    <w:ind w:firstLine="0"/>
                    <w:rPr>
                      <w:rFonts w:ascii="Arial" w:eastAsia="Calibri" w:hAnsi="Arial" w:cs="Arial"/>
                      <w:color w:val="000000"/>
                      <w:sz w:val="20"/>
                      <w:szCs w:val="20"/>
                    </w:rPr>
                  </w:pPr>
                </w:p>
              </w:tc>
              <w:tc>
                <w:tcPr>
                  <w:tcW w:w="1686" w:type="dxa"/>
                  <w:vMerge/>
                  <w:shd w:val="clear" w:color="auto" w:fill="auto"/>
                </w:tcPr>
                <w:p w:rsidR="001921B5" w:rsidRPr="00ED5D53" w:rsidRDefault="001921B5" w:rsidP="001921B5">
                  <w:pPr>
                    <w:autoSpaceDE w:val="0"/>
                    <w:autoSpaceDN w:val="0"/>
                    <w:adjustRightInd w:val="0"/>
                    <w:ind w:firstLine="0"/>
                    <w:rPr>
                      <w:rFonts w:ascii="Arial" w:eastAsia="Calibri" w:hAnsi="Arial" w:cs="Arial"/>
                      <w:color w:val="000000"/>
                      <w:sz w:val="20"/>
                      <w:szCs w:val="20"/>
                    </w:rPr>
                  </w:pPr>
                </w:p>
              </w:tc>
              <w:tc>
                <w:tcPr>
                  <w:tcW w:w="1596" w:type="dxa"/>
                  <w:shd w:val="clear" w:color="auto" w:fill="auto"/>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Sig. (bilateral)</w:t>
                  </w:r>
                </w:p>
              </w:tc>
              <w:tc>
                <w:tcPr>
                  <w:tcW w:w="1428" w:type="dxa"/>
                  <w:shd w:val="clear" w:color="auto" w:fill="auto"/>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w:t>
                  </w:r>
                </w:p>
              </w:tc>
              <w:tc>
                <w:tcPr>
                  <w:tcW w:w="1686" w:type="dxa"/>
                  <w:shd w:val="clear" w:color="auto" w:fill="auto"/>
                </w:tcPr>
                <w:p w:rsidR="001921B5" w:rsidRPr="00ED5D53" w:rsidRDefault="001921B5" w:rsidP="001921B5">
                  <w:pPr>
                    <w:autoSpaceDE w:val="0"/>
                    <w:autoSpaceDN w:val="0"/>
                    <w:adjustRightInd w:val="0"/>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,013</w:t>
                  </w:r>
                </w:p>
              </w:tc>
              <w:tc>
                <w:tcPr>
                  <w:tcW w:w="1562" w:type="dxa"/>
                  <w:shd w:val="clear" w:color="auto" w:fill="auto"/>
                </w:tcPr>
                <w:p w:rsidR="001921B5" w:rsidRPr="00ED5D53" w:rsidRDefault="001921B5" w:rsidP="001921B5">
                  <w:pPr>
                    <w:autoSpaceDE w:val="0"/>
                    <w:autoSpaceDN w:val="0"/>
                    <w:adjustRightInd w:val="0"/>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,000</w:t>
                  </w:r>
                </w:p>
              </w:tc>
            </w:tr>
            <w:tr w:rsidR="001921B5" w:rsidRPr="00ED5D53" w:rsidTr="007A5D6B">
              <w:trPr>
                <w:cantSplit/>
                <w:trHeight w:val="310"/>
              </w:trPr>
              <w:tc>
                <w:tcPr>
                  <w:tcW w:w="1038" w:type="dxa"/>
                  <w:vMerge/>
                  <w:shd w:val="clear" w:color="auto" w:fill="auto"/>
                </w:tcPr>
                <w:p w:rsidR="001921B5" w:rsidRPr="00ED5D53" w:rsidRDefault="001921B5" w:rsidP="001921B5">
                  <w:pPr>
                    <w:autoSpaceDE w:val="0"/>
                    <w:autoSpaceDN w:val="0"/>
                    <w:adjustRightInd w:val="0"/>
                    <w:ind w:firstLine="0"/>
                    <w:rPr>
                      <w:rFonts w:ascii="Arial" w:eastAsia="Calibri" w:hAnsi="Arial" w:cs="Arial"/>
                      <w:color w:val="000000"/>
                      <w:sz w:val="20"/>
                      <w:szCs w:val="20"/>
                    </w:rPr>
                  </w:pPr>
                </w:p>
              </w:tc>
              <w:tc>
                <w:tcPr>
                  <w:tcW w:w="1686" w:type="dxa"/>
                  <w:vMerge/>
                  <w:shd w:val="clear" w:color="auto" w:fill="auto"/>
                </w:tcPr>
                <w:p w:rsidR="001921B5" w:rsidRPr="00ED5D53" w:rsidRDefault="001921B5" w:rsidP="001921B5">
                  <w:pPr>
                    <w:autoSpaceDE w:val="0"/>
                    <w:autoSpaceDN w:val="0"/>
                    <w:adjustRightInd w:val="0"/>
                    <w:ind w:firstLine="0"/>
                    <w:rPr>
                      <w:rFonts w:ascii="Arial" w:eastAsia="Calibri" w:hAnsi="Arial" w:cs="Arial"/>
                      <w:color w:val="000000"/>
                      <w:sz w:val="20"/>
                      <w:szCs w:val="20"/>
                    </w:rPr>
                  </w:pPr>
                </w:p>
              </w:tc>
              <w:tc>
                <w:tcPr>
                  <w:tcW w:w="1596" w:type="dxa"/>
                  <w:shd w:val="clear" w:color="auto" w:fill="auto"/>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N</w:t>
                  </w:r>
                </w:p>
              </w:tc>
              <w:tc>
                <w:tcPr>
                  <w:tcW w:w="1428" w:type="dxa"/>
                  <w:shd w:val="clear" w:color="auto" w:fill="auto"/>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163</w:t>
                  </w:r>
                </w:p>
              </w:tc>
              <w:tc>
                <w:tcPr>
                  <w:tcW w:w="1686" w:type="dxa"/>
                  <w:shd w:val="clear" w:color="auto" w:fill="auto"/>
                </w:tcPr>
                <w:p w:rsidR="001921B5" w:rsidRPr="00ED5D53" w:rsidRDefault="001921B5" w:rsidP="001921B5">
                  <w:pPr>
                    <w:autoSpaceDE w:val="0"/>
                    <w:autoSpaceDN w:val="0"/>
                    <w:adjustRightInd w:val="0"/>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163</w:t>
                  </w:r>
                </w:p>
              </w:tc>
              <w:tc>
                <w:tcPr>
                  <w:tcW w:w="1562" w:type="dxa"/>
                  <w:shd w:val="clear" w:color="auto" w:fill="auto"/>
                </w:tcPr>
                <w:p w:rsidR="001921B5" w:rsidRPr="00ED5D53" w:rsidRDefault="001921B5" w:rsidP="001921B5">
                  <w:pPr>
                    <w:autoSpaceDE w:val="0"/>
                    <w:autoSpaceDN w:val="0"/>
                    <w:adjustRightInd w:val="0"/>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163</w:t>
                  </w:r>
                </w:p>
              </w:tc>
            </w:tr>
            <w:tr w:rsidR="001921B5" w:rsidRPr="00ED5D53" w:rsidTr="007A5D6B">
              <w:trPr>
                <w:cantSplit/>
                <w:trHeight w:val="621"/>
              </w:trPr>
              <w:tc>
                <w:tcPr>
                  <w:tcW w:w="1038" w:type="dxa"/>
                  <w:vMerge/>
                  <w:shd w:val="clear" w:color="auto" w:fill="auto"/>
                </w:tcPr>
                <w:p w:rsidR="001921B5" w:rsidRPr="00ED5D53" w:rsidRDefault="001921B5" w:rsidP="001921B5">
                  <w:pPr>
                    <w:autoSpaceDE w:val="0"/>
                    <w:autoSpaceDN w:val="0"/>
                    <w:adjustRightInd w:val="0"/>
                    <w:ind w:firstLine="0"/>
                    <w:rPr>
                      <w:rFonts w:ascii="Arial" w:eastAsia="Calibri" w:hAnsi="Arial" w:cs="Arial"/>
                      <w:color w:val="000000"/>
                      <w:sz w:val="20"/>
                      <w:szCs w:val="20"/>
                    </w:rPr>
                  </w:pPr>
                </w:p>
              </w:tc>
              <w:tc>
                <w:tcPr>
                  <w:tcW w:w="1686" w:type="dxa"/>
                  <w:vMerge w:val="restart"/>
                  <w:shd w:val="clear" w:color="auto" w:fill="auto"/>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VIOLENCIA PSICOLÓGICA</w:t>
                  </w:r>
                </w:p>
              </w:tc>
              <w:tc>
                <w:tcPr>
                  <w:tcW w:w="1596" w:type="dxa"/>
                  <w:shd w:val="clear" w:color="auto" w:fill="auto"/>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Coeficiente de correlación</w:t>
                  </w:r>
                </w:p>
              </w:tc>
              <w:tc>
                <w:tcPr>
                  <w:tcW w:w="1428" w:type="dxa"/>
                  <w:shd w:val="clear" w:color="auto" w:fill="auto"/>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,194</w:t>
                  </w:r>
                  <w:r w:rsidRPr="00ED5D53">
                    <w:rPr>
                      <w:rFonts w:ascii="Arial" w:eastAsia="Calibri" w:hAnsi="Arial" w:cs="Arial"/>
                      <w:color w:val="000000"/>
                      <w:sz w:val="20"/>
                      <w:szCs w:val="20"/>
                      <w:vertAlign w:val="superscript"/>
                    </w:rPr>
                    <w:t>*</w:t>
                  </w:r>
                </w:p>
              </w:tc>
              <w:tc>
                <w:tcPr>
                  <w:tcW w:w="1686" w:type="dxa"/>
                  <w:shd w:val="clear" w:color="auto" w:fill="auto"/>
                </w:tcPr>
                <w:p w:rsidR="001921B5" w:rsidRPr="00ED5D53" w:rsidRDefault="001921B5" w:rsidP="001921B5">
                  <w:pPr>
                    <w:autoSpaceDE w:val="0"/>
                    <w:autoSpaceDN w:val="0"/>
                    <w:adjustRightInd w:val="0"/>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1,000</w:t>
                  </w:r>
                </w:p>
              </w:tc>
              <w:tc>
                <w:tcPr>
                  <w:tcW w:w="1562" w:type="dxa"/>
                  <w:shd w:val="clear" w:color="auto" w:fill="auto"/>
                </w:tcPr>
                <w:p w:rsidR="001921B5" w:rsidRPr="00ED5D53" w:rsidRDefault="001921B5" w:rsidP="001921B5">
                  <w:pPr>
                    <w:autoSpaceDE w:val="0"/>
                    <w:autoSpaceDN w:val="0"/>
                    <w:adjustRightInd w:val="0"/>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,783</w:t>
                  </w:r>
                  <w:r w:rsidRPr="00ED5D53">
                    <w:rPr>
                      <w:rFonts w:ascii="Arial" w:eastAsia="Calibri" w:hAnsi="Arial" w:cs="Arial"/>
                      <w:color w:val="000000"/>
                      <w:sz w:val="20"/>
                      <w:szCs w:val="20"/>
                      <w:vertAlign w:val="superscript"/>
                    </w:rPr>
                    <w:t>**</w:t>
                  </w:r>
                </w:p>
              </w:tc>
            </w:tr>
            <w:tr w:rsidR="001921B5" w:rsidRPr="00ED5D53" w:rsidTr="007A5D6B">
              <w:trPr>
                <w:cantSplit/>
                <w:trHeight w:val="324"/>
              </w:trPr>
              <w:tc>
                <w:tcPr>
                  <w:tcW w:w="1038" w:type="dxa"/>
                  <w:vMerge/>
                  <w:shd w:val="clear" w:color="auto" w:fill="auto"/>
                </w:tcPr>
                <w:p w:rsidR="001921B5" w:rsidRPr="00ED5D53" w:rsidRDefault="001921B5" w:rsidP="001921B5">
                  <w:pPr>
                    <w:autoSpaceDE w:val="0"/>
                    <w:autoSpaceDN w:val="0"/>
                    <w:adjustRightInd w:val="0"/>
                    <w:ind w:firstLine="0"/>
                    <w:rPr>
                      <w:rFonts w:ascii="Arial" w:eastAsia="Calibri" w:hAnsi="Arial" w:cs="Arial"/>
                      <w:color w:val="000000"/>
                      <w:sz w:val="20"/>
                      <w:szCs w:val="20"/>
                    </w:rPr>
                  </w:pPr>
                </w:p>
              </w:tc>
              <w:tc>
                <w:tcPr>
                  <w:tcW w:w="1686" w:type="dxa"/>
                  <w:vMerge/>
                  <w:shd w:val="clear" w:color="auto" w:fill="auto"/>
                </w:tcPr>
                <w:p w:rsidR="001921B5" w:rsidRPr="00ED5D53" w:rsidRDefault="001921B5" w:rsidP="001921B5">
                  <w:pPr>
                    <w:autoSpaceDE w:val="0"/>
                    <w:autoSpaceDN w:val="0"/>
                    <w:adjustRightInd w:val="0"/>
                    <w:ind w:firstLine="0"/>
                    <w:rPr>
                      <w:rFonts w:ascii="Arial" w:eastAsia="Calibri" w:hAnsi="Arial" w:cs="Arial"/>
                      <w:color w:val="000000"/>
                      <w:sz w:val="20"/>
                      <w:szCs w:val="20"/>
                    </w:rPr>
                  </w:pPr>
                </w:p>
              </w:tc>
              <w:tc>
                <w:tcPr>
                  <w:tcW w:w="1596" w:type="dxa"/>
                  <w:shd w:val="clear" w:color="auto" w:fill="auto"/>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Sig. (bilateral)</w:t>
                  </w:r>
                </w:p>
              </w:tc>
              <w:tc>
                <w:tcPr>
                  <w:tcW w:w="1428" w:type="dxa"/>
                  <w:shd w:val="clear" w:color="auto" w:fill="auto"/>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,013</w:t>
                  </w:r>
                </w:p>
              </w:tc>
              <w:tc>
                <w:tcPr>
                  <w:tcW w:w="1686" w:type="dxa"/>
                  <w:shd w:val="clear" w:color="auto" w:fill="auto"/>
                </w:tcPr>
                <w:p w:rsidR="001921B5" w:rsidRPr="00ED5D53" w:rsidRDefault="001921B5" w:rsidP="001921B5">
                  <w:pPr>
                    <w:autoSpaceDE w:val="0"/>
                    <w:autoSpaceDN w:val="0"/>
                    <w:adjustRightInd w:val="0"/>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w:t>
                  </w:r>
                </w:p>
              </w:tc>
              <w:tc>
                <w:tcPr>
                  <w:tcW w:w="1562" w:type="dxa"/>
                  <w:shd w:val="clear" w:color="auto" w:fill="auto"/>
                </w:tcPr>
                <w:p w:rsidR="001921B5" w:rsidRPr="00ED5D53" w:rsidRDefault="001921B5" w:rsidP="001921B5">
                  <w:pPr>
                    <w:autoSpaceDE w:val="0"/>
                    <w:autoSpaceDN w:val="0"/>
                    <w:adjustRightInd w:val="0"/>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,000</w:t>
                  </w:r>
                </w:p>
              </w:tc>
            </w:tr>
            <w:tr w:rsidR="001921B5" w:rsidRPr="00ED5D53" w:rsidTr="007A5D6B">
              <w:trPr>
                <w:cantSplit/>
                <w:trHeight w:val="324"/>
              </w:trPr>
              <w:tc>
                <w:tcPr>
                  <w:tcW w:w="1038" w:type="dxa"/>
                  <w:vMerge/>
                  <w:shd w:val="clear" w:color="auto" w:fill="auto"/>
                </w:tcPr>
                <w:p w:rsidR="001921B5" w:rsidRPr="00ED5D53" w:rsidRDefault="001921B5" w:rsidP="001921B5">
                  <w:pPr>
                    <w:autoSpaceDE w:val="0"/>
                    <w:autoSpaceDN w:val="0"/>
                    <w:adjustRightInd w:val="0"/>
                    <w:ind w:firstLine="0"/>
                    <w:rPr>
                      <w:rFonts w:ascii="Arial" w:eastAsia="Calibri" w:hAnsi="Arial" w:cs="Arial"/>
                      <w:color w:val="000000"/>
                      <w:sz w:val="20"/>
                      <w:szCs w:val="20"/>
                    </w:rPr>
                  </w:pPr>
                </w:p>
              </w:tc>
              <w:tc>
                <w:tcPr>
                  <w:tcW w:w="1686" w:type="dxa"/>
                  <w:vMerge/>
                  <w:shd w:val="clear" w:color="auto" w:fill="auto"/>
                </w:tcPr>
                <w:p w:rsidR="001921B5" w:rsidRPr="00ED5D53" w:rsidRDefault="001921B5" w:rsidP="001921B5">
                  <w:pPr>
                    <w:autoSpaceDE w:val="0"/>
                    <w:autoSpaceDN w:val="0"/>
                    <w:adjustRightInd w:val="0"/>
                    <w:ind w:firstLine="0"/>
                    <w:rPr>
                      <w:rFonts w:ascii="Arial" w:eastAsia="Calibri" w:hAnsi="Arial" w:cs="Arial"/>
                      <w:color w:val="000000"/>
                      <w:sz w:val="20"/>
                      <w:szCs w:val="20"/>
                    </w:rPr>
                  </w:pPr>
                </w:p>
              </w:tc>
              <w:tc>
                <w:tcPr>
                  <w:tcW w:w="1596" w:type="dxa"/>
                  <w:shd w:val="clear" w:color="auto" w:fill="auto"/>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N</w:t>
                  </w:r>
                </w:p>
              </w:tc>
              <w:tc>
                <w:tcPr>
                  <w:tcW w:w="1428" w:type="dxa"/>
                  <w:shd w:val="clear" w:color="auto" w:fill="auto"/>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163</w:t>
                  </w:r>
                </w:p>
              </w:tc>
              <w:tc>
                <w:tcPr>
                  <w:tcW w:w="1686" w:type="dxa"/>
                  <w:shd w:val="clear" w:color="auto" w:fill="auto"/>
                </w:tcPr>
                <w:p w:rsidR="001921B5" w:rsidRPr="00ED5D53" w:rsidRDefault="001921B5" w:rsidP="001921B5">
                  <w:pPr>
                    <w:autoSpaceDE w:val="0"/>
                    <w:autoSpaceDN w:val="0"/>
                    <w:adjustRightInd w:val="0"/>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163</w:t>
                  </w:r>
                </w:p>
              </w:tc>
              <w:tc>
                <w:tcPr>
                  <w:tcW w:w="1562" w:type="dxa"/>
                  <w:shd w:val="clear" w:color="auto" w:fill="auto"/>
                </w:tcPr>
                <w:p w:rsidR="001921B5" w:rsidRPr="00ED5D53" w:rsidRDefault="001921B5" w:rsidP="001921B5">
                  <w:pPr>
                    <w:autoSpaceDE w:val="0"/>
                    <w:autoSpaceDN w:val="0"/>
                    <w:adjustRightInd w:val="0"/>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163</w:t>
                  </w:r>
                </w:p>
              </w:tc>
            </w:tr>
            <w:tr w:rsidR="001921B5" w:rsidRPr="00ED5D53" w:rsidTr="007A5D6B">
              <w:trPr>
                <w:cantSplit/>
                <w:trHeight w:val="621"/>
              </w:trPr>
              <w:tc>
                <w:tcPr>
                  <w:tcW w:w="1038" w:type="dxa"/>
                  <w:vMerge/>
                  <w:shd w:val="clear" w:color="auto" w:fill="auto"/>
                </w:tcPr>
                <w:p w:rsidR="001921B5" w:rsidRPr="00ED5D53" w:rsidRDefault="001921B5" w:rsidP="001921B5">
                  <w:pPr>
                    <w:autoSpaceDE w:val="0"/>
                    <w:autoSpaceDN w:val="0"/>
                    <w:adjustRightInd w:val="0"/>
                    <w:ind w:firstLine="0"/>
                    <w:rPr>
                      <w:rFonts w:ascii="Arial" w:eastAsia="Calibri" w:hAnsi="Arial" w:cs="Arial"/>
                      <w:color w:val="000000"/>
                      <w:sz w:val="20"/>
                      <w:szCs w:val="20"/>
                    </w:rPr>
                  </w:pPr>
                </w:p>
              </w:tc>
              <w:tc>
                <w:tcPr>
                  <w:tcW w:w="1686" w:type="dxa"/>
                  <w:vMerge w:val="restart"/>
                  <w:shd w:val="clear" w:color="auto" w:fill="auto"/>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DELITO DE FEMINICIDIO</w:t>
                  </w:r>
                </w:p>
              </w:tc>
              <w:tc>
                <w:tcPr>
                  <w:tcW w:w="1596" w:type="dxa"/>
                  <w:shd w:val="clear" w:color="auto" w:fill="auto"/>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Coeficiente de correlación</w:t>
                  </w:r>
                </w:p>
              </w:tc>
              <w:tc>
                <w:tcPr>
                  <w:tcW w:w="1428" w:type="dxa"/>
                  <w:shd w:val="clear" w:color="auto" w:fill="auto"/>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,501</w:t>
                  </w:r>
                  <w:r w:rsidRPr="00ED5D53">
                    <w:rPr>
                      <w:rFonts w:ascii="Arial" w:eastAsia="Calibri" w:hAnsi="Arial" w:cs="Arial"/>
                      <w:color w:val="000000"/>
                      <w:sz w:val="20"/>
                      <w:szCs w:val="20"/>
                      <w:vertAlign w:val="superscript"/>
                    </w:rPr>
                    <w:t>**</w:t>
                  </w:r>
                </w:p>
              </w:tc>
              <w:tc>
                <w:tcPr>
                  <w:tcW w:w="1686" w:type="dxa"/>
                  <w:shd w:val="clear" w:color="auto" w:fill="auto"/>
                </w:tcPr>
                <w:p w:rsidR="001921B5" w:rsidRPr="00ED5D53" w:rsidRDefault="001921B5" w:rsidP="001921B5">
                  <w:pPr>
                    <w:autoSpaceDE w:val="0"/>
                    <w:autoSpaceDN w:val="0"/>
                    <w:adjustRightInd w:val="0"/>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,783</w:t>
                  </w:r>
                  <w:r w:rsidRPr="00ED5D53">
                    <w:rPr>
                      <w:rFonts w:ascii="Arial" w:eastAsia="Calibri" w:hAnsi="Arial" w:cs="Arial"/>
                      <w:color w:val="000000"/>
                      <w:sz w:val="20"/>
                      <w:szCs w:val="20"/>
                      <w:vertAlign w:val="superscript"/>
                    </w:rPr>
                    <w:t>**</w:t>
                  </w:r>
                </w:p>
              </w:tc>
              <w:tc>
                <w:tcPr>
                  <w:tcW w:w="1562" w:type="dxa"/>
                  <w:shd w:val="clear" w:color="auto" w:fill="auto"/>
                </w:tcPr>
                <w:p w:rsidR="001921B5" w:rsidRPr="00ED5D53" w:rsidRDefault="001921B5" w:rsidP="001921B5">
                  <w:pPr>
                    <w:autoSpaceDE w:val="0"/>
                    <w:autoSpaceDN w:val="0"/>
                    <w:adjustRightInd w:val="0"/>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1,000</w:t>
                  </w:r>
                </w:p>
              </w:tc>
            </w:tr>
            <w:tr w:rsidR="001921B5" w:rsidRPr="00ED5D53" w:rsidTr="007A5D6B">
              <w:trPr>
                <w:cantSplit/>
                <w:trHeight w:val="310"/>
              </w:trPr>
              <w:tc>
                <w:tcPr>
                  <w:tcW w:w="1038" w:type="dxa"/>
                  <w:vMerge/>
                  <w:shd w:val="clear" w:color="auto" w:fill="auto"/>
                </w:tcPr>
                <w:p w:rsidR="001921B5" w:rsidRPr="00ED5D53" w:rsidRDefault="001921B5" w:rsidP="001921B5">
                  <w:pPr>
                    <w:autoSpaceDE w:val="0"/>
                    <w:autoSpaceDN w:val="0"/>
                    <w:adjustRightInd w:val="0"/>
                    <w:ind w:firstLine="0"/>
                    <w:rPr>
                      <w:rFonts w:ascii="Arial" w:eastAsia="Calibri" w:hAnsi="Arial" w:cs="Arial"/>
                      <w:color w:val="000000"/>
                      <w:sz w:val="20"/>
                      <w:szCs w:val="20"/>
                    </w:rPr>
                  </w:pPr>
                </w:p>
              </w:tc>
              <w:tc>
                <w:tcPr>
                  <w:tcW w:w="1686" w:type="dxa"/>
                  <w:vMerge/>
                  <w:shd w:val="clear" w:color="auto" w:fill="auto"/>
                </w:tcPr>
                <w:p w:rsidR="001921B5" w:rsidRPr="00ED5D53" w:rsidRDefault="001921B5" w:rsidP="001921B5">
                  <w:pPr>
                    <w:autoSpaceDE w:val="0"/>
                    <w:autoSpaceDN w:val="0"/>
                    <w:adjustRightInd w:val="0"/>
                    <w:ind w:firstLine="0"/>
                    <w:rPr>
                      <w:rFonts w:ascii="Arial" w:eastAsia="Calibri" w:hAnsi="Arial" w:cs="Arial"/>
                      <w:color w:val="000000"/>
                      <w:sz w:val="20"/>
                      <w:szCs w:val="20"/>
                    </w:rPr>
                  </w:pPr>
                </w:p>
              </w:tc>
              <w:tc>
                <w:tcPr>
                  <w:tcW w:w="1596" w:type="dxa"/>
                  <w:shd w:val="clear" w:color="auto" w:fill="auto"/>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Sig. (bilateral)</w:t>
                  </w:r>
                </w:p>
              </w:tc>
              <w:tc>
                <w:tcPr>
                  <w:tcW w:w="1428" w:type="dxa"/>
                  <w:shd w:val="clear" w:color="auto" w:fill="auto"/>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,000</w:t>
                  </w:r>
                </w:p>
              </w:tc>
              <w:tc>
                <w:tcPr>
                  <w:tcW w:w="1686" w:type="dxa"/>
                  <w:shd w:val="clear" w:color="auto" w:fill="auto"/>
                </w:tcPr>
                <w:p w:rsidR="001921B5" w:rsidRPr="00ED5D53" w:rsidRDefault="001921B5" w:rsidP="001921B5">
                  <w:pPr>
                    <w:autoSpaceDE w:val="0"/>
                    <w:autoSpaceDN w:val="0"/>
                    <w:adjustRightInd w:val="0"/>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,000</w:t>
                  </w:r>
                </w:p>
              </w:tc>
              <w:tc>
                <w:tcPr>
                  <w:tcW w:w="1562" w:type="dxa"/>
                  <w:shd w:val="clear" w:color="auto" w:fill="auto"/>
                </w:tcPr>
                <w:p w:rsidR="001921B5" w:rsidRPr="00ED5D53" w:rsidRDefault="001921B5" w:rsidP="001921B5">
                  <w:pPr>
                    <w:autoSpaceDE w:val="0"/>
                    <w:autoSpaceDN w:val="0"/>
                    <w:adjustRightInd w:val="0"/>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w:t>
                  </w:r>
                </w:p>
              </w:tc>
            </w:tr>
            <w:tr w:rsidR="001921B5" w:rsidRPr="00ED5D53" w:rsidTr="007A5D6B">
              <w:trPr>
                <w:cantSplit/>
                <w:trHeight w:val="324"/>
              </w:trPr>
              <w:tc>
                <w:tcPr>
                  <w:tcW w:w="1038" w:type="dxa"/>
                  <w:vMerge/>
                  <w:shd w:val="clear" w:color="auto" w:fill="auto"/>
                </w:tcPr>
                <w:p w:rsidR="001921B5" w:rsidRPr="00ED5D53" w:rsidRDefault="001921B5" w:rsidP="001921B5">
                  <w:pPr>
                    <w:autoSpaceDE w:val="0"/>
                    <w:autoSpaceDN w:val="0"/>
                    <w:adjustRightInd w:val="0"/>
                    <w:ind w:firstLine="0"/>
                    <w:rPr>
                      <w:rFonts w:ascii="Arial" w:eastAsia="Calibri" w:hAnsi="Arial" w:cs="Arial"/>
                      <w:color w:val="000000"/>
                      <w:sz w:val="20"/>
                      <w:szCs w:val="20"/>
                    </w:rPr>
                  </w:pPr>
                </w:p>
              </w:tc>
              <w:tc>
                <w:tcPr>
                  <w:tcW w:w="1686" w:type="dxa"/>
                  <w:vMerge/>
                  <w:shd w:val="clear" w:color="auto" w:fill="auto"/>
                </w:tcPr>
                <w:p w:rsidR="001921B5" w:rsidRPr="00ED5D53" w:rsidRDefault="001921B5" w:rsidP="001921B5">
                  <w:pPr>
                    <w:autoSpaceDE w:val="0"/>
                    <w:autoSpaceDN w:val="0"/>
                    <w:adjustRightInd w:val="0"/>
                    <w:ind w:firstLine="0"/>
                    <w:rPr>
                      <w:rFonts w:ascii="Arial" w:eastAsia="Calibri" w:hAnsi="Arial" w:cs="Arial"/>
                      <w:color w:val="000000"/>
                      <w:sz w:val="20"/>
                      <w:szCs w:val="20"/>
                    </w:rPr>
                  </w:pPr>
                </w:p>
              </w:tc>
              <w:tc>
                <w:tcPr>
                  <w:tcW w:w="1596" w:type="dxa"/>
                  <w:shd w:val="clear" w:color="auto" w:fill="auto"/>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N</w:t>
                  </w:r>
                </w:p>
              </w:tc>
              <w:tc>
                <w:tcPr>
                  <w:tcW w:w="1428" w:type="dxa"/>
                  <w:shd w:val="clear" w:color="auto" w:fill="auto"/>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163</w:t>
                  </w:r>
                </w:p>
              </w:tc>
              <w:tc>
                <w:tcPr>
                  <w:tcW w:w="1686" w:type="dxa"/>
                  <w:shd w:val="clear" w:color="auto" w:fill="auto"/>
                </w:tcPr>
                <w:p w:rsidR="001921B5" w:rsidRPr="00ED5D53" w:rsidRDefault="001921B5" w:rsidP="001921B5">
                  <w:pPr>
                    <w:autoSpaceDE w:val="0"/>
                    <w:autoSpaceDN w:val="0"/>
                    <w:adjustRightInd w:val="0"/>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163</w:t>
                  </w:r>
                </w:p>
              </w:tc>
              <w:tc>
                <w:tcPr>
                  <w:tcW w:w="1562" w:type="dxa"/>
                  <w:shd w:val="clear" w:color="auto" w:fill="auto"/>
                </w:tcPr>
                <w:p w:rsidR="001921B5" w:rsidRPr="00ED5D53" w:rsidRDefault="001921B5" w:rsidP="001921B5">
                  <w:pPr>
                    <w:autoSpaceDE w:val="0"/>
                    <w:autoSpaceDN w:val="0"/>
                    <w:adjustRightInd w:val="0"/>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163</w:t>
                  </w:r>
                </w:p>
              </w:tc>
            </w:tr>
            <w:tr w:rsidR="001921B5" w:rsidRPr="00ED5D53" w:rsidTr="007A5D6B">
              <w:trPr>
                <w:cantSplit/>
                <w:trHeight w:val="310"/>
              </w:trPr>
              <w:tc>
                <w:tcPr>
                  <w:tcW w:w="8999" w:type="dxa"/>
                  <w:gridSpan w:val="6"/>
                  <w:shd w:val="clear" w:color="auto" w:fill="auto"/>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 La correlación es significativa en el nivel 0,05 (bilateral).</w:t>
                  </w:r>
                </w:p>
              </w:tc>
            </w:tr>
            <w:tr w:rsidR="001921B5" w:rsidRPr="00ED5D53" w:rsidTr="007A5D6B">
              <w:trPr>
                <w:cantSplit/>
                <w:trHeight w:val="296"/>
              </w:trPr>
              <w:tc>
                <w:tcPr>
                  <w:tcW w:w="8999" w:type="dxa"/>
                  <w:gridSpan w:val="6"/>
                  <w:shd w:val="clear" w:color="auto" w:fill="auto"/>
                </w:tcPr>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r w:rsidRPr="00ED5D53">
                    <w:rPr>
                      <w:rFonts w:ascii="Arial" w:eastAsia="Calibri" w:hAnsi="Arial" w:cs="Arial"/>
                      <w:color w:val="000000"/>
                      <w:sz w:val="20"/>
                      <w:szCs w:val="20"/>
                    </w:rPr>
                    <w:t>**. La correlación es significativa en el nivel 0,01 (bilateral).</w:t>
                  </w:r>
                </w:p>
              </w:tc>
            </w:tr>
          </w:tbl>
          <w:p w:rsidR="001921B5" w:rsidRPr="00ED5D53" w:rsidRDefault="001921B5" w:rsidP="001921B5">
            <w:pPr>
              <w:autoSpaceDE w:val="0"/>
              <w:autoSpaceDN w:val="0"/>
              <w:adjustRightInd w:val="0"/>
              <w:ind w:right="60" w:firstLine="0"/>
              <w:rPr>
                <w:rFonts w:ascii="Arial" w:eastAsia="Calibri" w:hAnsi="Arial" w:cs="Arial"/>
                <w:color w:val="000000"/>
                <w:sz w:val="20"/>
                <w:szCs w:val="20"/>
              </w:rPr>
            </w:pPr>
          </w:p>
        </w:tc>
      </w:tr>
    </w:tbl>
    <w:p w:rsidR="001921B5" w:rsidRPr="00ED5D53" w:rsidRDefault="001921B5" w:rsidP="001921B5">
      <w:pPr>
        <w:autoSpaceDE w:val="0"/>
        <w:autoSpaceDN w:val="0"/>
        <w:adjustRightInd w:val="0"/>
        <w:ind w:firstLine="0"/>
        <w:rPr>
          <w:rFonts w:ascii="Arial" w:eastAsia="Calibri" w:hAnsi="Arial" w:cs="Arial"/>
          <w:color w:val="000000"/>
          <w:sz w:val="20"/>
          <w:szCs w:val="20"/>
        </w:rPr>
      </w:pPr>
    </w:p>
    <w:p w:rsidR="001921B5" w:rsidRPr="00ED5D53" w:rsidRDefault="001921B5" w:rsidP="001921B5">
      <w:pPr>
        <w:autoSpaceDE w:val="0"/>
        <w:autoSpaceDN w:val="0"/>
        <w:adjustRightInd w:val="0"/>
        <w:spacing w:line="240" w:lineRule="auto"/>
        <w:rPr>
          <w:rFonts w:ascii="Arial" w:eastAsia="Calibri" w:hAnsi="Arial" w:cs="Arial"/>
          <w:color w:val="000000"/>
          <w:sz w:val="20"/>
          <w:szCs w:val="20"/>
        </w:rPr>
      </w:pPr>
      <w:r w:rsidRPr="00ED5D53">
        <w:rPr>
          <w:rFonts w:ascii="Arial" w:eastAsia="Calibri" w:hAnsi="Arial" w:cs="Arial"/>
          <w:color w:val="000000"/>
          <w:sz w:val="20"/>
          <w:szCs w:val="20"/>
        </w:rPr>
        <w:t>Esta tabla nos muestra los resultados de correlación de las dimensiones de la variable Violencia física con el Delito de feminicidio con una moderada relación o asociatividad de 50.10%: y la violencia psicológica con el Delito de feminicidio con una alta relación o asociatividad de 78.30%</w:t>
      </w:r>
    </w:p>
    <w:p w:rsidR="001921B5" w:rsidRPr="00ED5D53" w:rsidRDefault="001921B5" w:rsidP="001921B5">
      <w:pPr>
        <w:autoSpaceDE w:val="0"/>
        <w:autoSpaceDN w:val="0"/>
        <w:adjustRightInd w:val="0"/>
        <w:spacing w:line="240" w:lineRule="auto"/>
        <w:rPr>
          <w:rFonts w:ascii="Arial" w:eastAsia="Calibri" w:hAnsi="Arial" w:cs="Arial"/>
          <w:color w:val="000000"/>
          <w:sz w:val="20"/>
          <w:szCs w:val="20"/>
        </w:rPr>
      </w:pPr>
      <w:r w:rsidRPr="00ED5D53">
        <w:rPr>
          <w:rFonts w:ascii="Arial" w:eastAsia="Calibri" w:hAnsi="Arial" w:cs="Arial"/>
          <w:color w:val="000000"/>
          <w:sz w:val="20"/>
          <w:szCs w:val="20"/>
        </w:rPr>
        <w:t>Estos resultados demuestran que el estudio realizado si explica la incidencia de la Violencia familiar con el Delito de feminicidio y afianzan el resultado de la relación existente entre ambas variables presentado en la tabla anterior, que demuestran la alta significancia e influencia de la variable familiar con el delito de feminicidio en la provincia de Lima.</w:t>
      </w:r>
    </w:p>
    <w:p w:rsidR="001921B5" w:rsidRPr="00ED5D53" w:rsidRDefault="001921B5" w:rsidP="001921B5">
      <w:pPr>
        <w:keepNext/>
        <w:keepLines/>
        <w:spacing w:line="240" w:lineRule="auto"/>
        <w:ind w:firstLine="0"/>
        <w:jc w:val="left"/>
        <w:outlineLvl w:val="2"/>
        <w:rPr>
          <w:rFonts w:ascii="Arial" w:eastAsia="Times New Roman" w:hAnsi="Arial" w:cs="Arial"/>
          <w:b/>
          <w:i/>
          <w:snapToGrid w:val="0"/>
          <w:sz w:val="20"/>
          <w:szCs w:val="20"/>
          <w:lang w:eastAsia="es-PE"/>
        </w:rPr>
      </w:pPr>
      <w:bookmarkStart w:id="6" w:name="_Toc93251128"/>
      <w:bookmarkStart w:id="7" w:name="_Toc93257915"/>
      <w:r w:rsidRPr="00ED5D53">
        <w:rPr>
          <w:rFonts w:ascii="Arial" w:eastAsia="Times New Roman" w:hAnsi="Arial" w:cs="Arial"/>
          <w:b/>
          <w:i/>
          <w:snapToGrid w:val="0"/>
          <w:sz w:val="20"/>
          <w:szCs w:val="20"/>
          <w:lang w:eastAsia="es-PE"/>
        </w:rPr>
        <w:t>Hipótesis específica N°1</w:t>
      </w:r>
      <w:bookmarkEnd w:id="6"/>
      <w:bookmarkEnd w:id="7"/>
    </w:p>
    <w:p w:rsidR="001921B5" w:rsidRPr="00ED5D53" w:rsidRDefault="001921B5" w:rsidP="001921B5">
      <w:pPr>
        <w:spacing w:line="240" w:lineRule="auto"/>
        <w:rPr>
          <w:rFonts w:ascii="Arial" w:eastAsia="Times New Roman" w:hAnsi="Arial" w:cs="Arial"/>
          <w:b/>
          <w:snapToGrid w:val="0"/>
          <w:color w:val="000000"/>
          <w:sz w:val="20"/>
          <w:szCs w:val="20"/>
          <w:lang w:eastAsia="es-PE"/>
        </w:rPr>
      </w:pPr>
      <w:r w:rsidRPr="00ED5D53">
        <w:rPr>
          <w:rFonts w:ascii="Arial" w:eastAsia="Times New Roman" w:hAnsi="Arial" w:cs="Arial"/>
          <w:b/>
          <w:snapToGrid w:val="0"/>
          <w:color w:val="000000"/>
          <w:sz w:val="20"/>
          <w:szCs w:val="20"/>
          <w:lang w:eastAsia="es-PE"/>
        </w:rPr>
        <w:t xml:space="preserve">           </w:t>
      </w:r>
    </w:p>
    <w:p w:rsidR="001921B5" w:rsidRPr="00ED5D53" w:rsidRDefault="001921B5" w:rsidP="001921B5">
      <w:pPr>
        <w:numPr>
          <w:ilvl w:val="0"/>
          <w:numId w:val="11"/>
        </w:numPr>
        <w:tabs>
          <w:tab w:val="left" w:pos="4395"/>
        </w:tabs>
        <w:spacing w:line="240" w:lineRule="auto"/>
        <w:ind w:left="709" w:hanging="283"/>
        <w:contextualSpacing/>
        <w:rPr>
          <w:rFonts w:ascii="Arial" w:eastAsia="Calibri" w:hAnsi="Arial" w:cs="Arial"/>
          <w:bCs/>
          <w:color w:val="000000"/>
          <w:sz w:val="20"/>
          <w:szCs w:val="20"/>
        </w:rPr>
      </w:pPr>
      <w:r w:rsidRPr="00ED5D53">
        <w:rPr>
          <w:rFonts w:ascii="Arial" w:eastAsia="Calibri" w:hAnsi="Arial" w:cs="Arial"/>
          <w:snapToGrid w:val="0"/>
          <w:color w:val="000000"/>
          <w:sz w:val="20"/>
          <w:szCs w:val="20"/>
        </w:rPr>
        <w:t>H</w:t>
      </w:r>
      <w:r w:rsidRPr="00ED5D53">
        <w:rPr>
          <w:rFonts w:ascii="Arial" w:eastAsia="Calibri" w:hAnsi="Arial" w:cs="Arial"/>
          <w:snapToGrid w:val="0"/>
          <w:color w:val="000000"/>
          <w:sz w:val="20"/>
          <w:szCs w:val="20"/>
          <w:vertAlign w:val="subscript"/>
        </w:rPr>
        <w:t>0</w:t>
      </w:r>
      <w:r w:rsidRPr="00ED5D53">
        <w:rPr>
          <w:rFonts w:ascii="Arial" w:eastAsia="Calibri" w:hAnsi="Arial" w:cs="Arial"/>
          <w:snapToGrid w:val="0"/>
          <w:color w:val="000000"/>
          <w:sz w:val="20"/>
          <w:szCs w:val="20"/>
        </w:rPr>
        <w:t>:  Las medidas de protección no estarían siendo eficaces en el delito de feminicidio</w:t>
      </w:r>
    </w:p>
    <w:p w:rsidR="001921B5" w:rsidRPr="00ED5D53" w:rsidRDefault="001921B5" w:rsidP="001921B5">
      <w:pPr>
        <w:numPr>
          <w:ilvl w:val="0"/>
          <w:numId w:val="11"/>
        </w:numPr>
        <w:tabs>
          <w:tab w:val="left" w:pos="4395"/>
        </w:tabs>
        <w:spacing w:line="240" w:lineRule="auto"/>
        <w:ind w:left="709" w:hanging="283"/>
        <w:contextualSpacing/>
        <w:rPr>
          <w:rFonts w:ascii="Arial" w:eastAsia="Calibri" w:hAnsi="Arial" w:cs="Arial"/>
          <w:bCs/>
          <w:color w:val="000000"/>
          <w:sz w:val="20"/>
          <w:szCs w:val="20"/>
        </w:rPr>
      </w:pPr>
      <w:r w:rsidRPr="00ED5D53">
        <w:rPr>
          <w:rFonts w:ascii="Arial" w:eastAsia="Calibri" w:hAnsi="Arial" w:cs="Arial"/>
          <w:snapToGrid w:val="0"/>
          <w:color w:val="000000"/>
          <w:sz w:val="20"/>
          <w:szCs w:val="20"/>
        </w:rPr>
        <w:t>H</w:t>
      </w:r>
      <w:r w:rsidRPr="00ED5D53">
        <w:rPr>
          <w:rFonts w:ascii="Arial" w:eastAsia="Calibri" w:hAnsi="Arial" w:cs="Arial"/>
          <w:snapToGrid w:val="0"/>
          <w:color w:val="000000"/>
          <w:sz w:val="20"/>
          <w:szCs w:val="20"/>
          <w:vertAlign w:val="subscript"/>
        </w:rPr>
        <w:t>1</w:t>
      </w:r>
      <w:r w:rsidRPr="00ED5D53">
        <w:rPr>
          <w:rFonts w:ascii="Arial" w:eastAsia="Calibri" w:hAnsi="Arial" w:cs="Arial"/>
          <w:snapToGrid w:val="0"/>
          <w:color w:val="000000"/>
          <w:sz w:val="20"/>
          <w:szCs w:val="20"/>
        </w:rPr>
        <w:t xml:space="preserve">: Las medidas de protección si estarían siendo eficaces en el delito de feminicidio </w:t>
      </w:r>
    </w:p>
    <w:p w:rsidR="001921B5" w:rsidRPr="00ED5D53" w:rsidRDefault="001921B5" w:rsidP="001921B5">
      <w:pPr>
        <w:numPr>
          <w:ilvl w:val="0"/>
          <w:numId w:val="11"/>
        </w:numPr>
        <w:spacing w:line="240" w:lineRule="auto"/>
        <w:ind w:left="709" w:right="121" w:hanging="283"/>
        <w:contextualSpacing/>
        <w:rPr>
          <w:rFonts w:ascii="Arial" w:eastAsia="Times New Roman" w:hAnsi="Arial" w:cs="Arial"/>
          <w:snapToGrid w:val="0"/>
          <w:color w:val="000000"/>
          <w:sz w:val="20"/>
          <w:szCs w:val="20"/>
          <w:lang w:eastAsia="es-PE"/>
        </w:rPr>
      </w:pPr>
      <w:r w:rsidRPr="00ED5D53">
        <w:rPr>
          <w:rFonts w:ascii="Arial" w:eastAsia="Times New Roman" w:hAnsi="Arial" w:cs="Arial"/>
          <w:snapToGrid w:val="0"/>
          <w:color w:val="000000"/>
          <w:sz w:val="20"/>
          <w:szCs w:val="20"/>
          <w:lang w:eastAsia="es-PE"/>
        </w:rPr>
        <w:lastRenderedPageBreak/>
        <w:t>Nivel de significación (α): 0.05</w:t>
      </w:r>
    </w:p>
    <w:p w:rsidR="001921B5" w:rsidRPr="00ED5D53" w:rsidRDefault="001921B5" w:rsidP="001921B5">
      <w:pPr>
        <w:numPr>
          <w:ilvl w:val="0"/>
          <w:numId w:val="11"/>
        </w:numPr>
        <w:spacing w:line="240" w:lineRule="auto"/>
        <w:ind w:left="709" w:right="121" w:hanging="283"/>
        <w:contextualSpacing/>
        <w:rPr>
          <w:rFonts w:ascii="Arial" w:eastAsia="Times New Roman" w:hAnsi="Arial" w:cs="Arial"/>
          <w:snapToGrid w:val="0"/>
          <w:color w:val="000000"/>
          <w:sz w:val="20"/>
          <w:szCs w:val="20"/>
          <w:lang w:eastAsia="es-PE"/>
        </w:rPr>
      </w:pPr>
      <w:r w:rsidRPr="00ED5D53">
        <w:rPr>
          <w:rFonts w:ascii="Arial" w:eastAsia="Times New Roman" w:hAnsi="Arial" w:cs="Arial"/>
          <w:snapToGrid w:val="0"/>
          <w:color w:val="000000"/>
          <w:sz w:val="20"/>
          <w:szCs w:val="20"/>
          <w:lang w:eastAsia="es-PE"/>
        </w:rPr>
        <w:t>Prueba estadística: Rho de Spearman</w:t>
      </w:r>
    </w:p>
    <w:p w:rsidR="001921B5" w:rsidRPr="00ED5D53" w:rsidRDefault="001921B5" w:rsidP="001921B5">
      <w:pPr>
        <w:numPr>
          <w:ilvl w:val="0"/>
          <w:numId w:val="11"/>
        </w:numPr>
        <w:autoSpaceDE w:val="0"/>
        <w:autoSpaceDN w:val="0"/>
        <w:adjustRightInd w:val="0"/>
        <w:spacing w:line="240" w:lineRule="auto"/>
        <w:ind w:left="709" w:right="121" w:hanging="283"/>
        <w:contextualSpacing/>
        <w:rPr>
          <w:rFonts w:ascii="Arial" w:eastAsia="Calibri" w:hAnsi="Arial" w:cs="Arial"/>
          <w:color w:val="000000"/>
          <w:sz w:val="20"/>
          <w:szCs w:val="20"/>
        </w:rPr>
      </w:pPr>
      <w:r w:rsidRPr="00ED5D53">
        <w:rPr>
          <w:rFonts w:ascii="Arial" w:eastAsia="Times New Roman" w:hAnsi="Arial" w:cs="Arial"/>
          <w:snapToGrid w:val="0"/>
          <w:color w:val="000000"/>
          <w:sz w:val="20"/>
          <w:szCs w:val="20"/>
          <w:lang w:eastAsia="es-PE"/>
        </w:rPr>
        <w:t xml:space="preserve">Cálculo de prueba: </w:t>
      </w:r>
      <w:r w:rsidRPr="00ED5D53">
        <w:rPr>
          <w:rFonts w:ascii="Arial" w:eastAsia="Calibri" w:hAnsi="Arial" w:cs="Arial"/>
          <w:color w:val="000000"/>
          <w:sz w:val="20"/>
          <w:szCs w:val="20"/>
        </w:rPr>
        <w:t>Los resultados de la contratación de la prueba de hipótesis se realizaron mediante el estadístico Rho de Spearman al nivel de significación del 0.05 con los siguientes resultados.</w:t>
      </w:r>
    </w:p>
    <w:p w:rsidR="001921B5" w:rsidRPr="00ED5D53" w:rsidRDefault="001921B5" w:rsidP="001921B5">
      <w:pPr>
        <w:keepNext/>
        <w:keepLines/>
        <w:spacing w:line="480" w:lineRule="auto"/>
        <w:ind w:firstLine="0"/>
        <w:jc w:val="left"/>
        <w:outlineLvl w:val="3"/>
        <w:rPr>
          <w:rFonts w:ascii="Arial" w:eastAsia="Times New Roman" w:hAnsi="Arial" w:cs="Arial"/>
          <w:i/>
          <w:iCs/>
          <w:sz w:val="20"/>
          <w:szCs w:val="20"/>
        </w:rPr>
      </w:pPr>
      <w:bookmarkStart w:id="8" w:name="_Toc93258182"/>
      <w:r w:rsidRPr="00ED5D53">
        <w:rPr>
          <w:rFonts w:ascii="Arial" w:eastAsia="Times New Roman" w:hAnsi="Arial" w:cs="Arial"/>
          <w:b/>
          <w:bCs/>
          <w:sz w:val="20"/>
          <w:szCs w:val="20"/>
        </w:rPr>
        <w:t xml:space="preserve">Tabla </w:t>
      </w:r>
      <w:r w:rsidR="00E60FC0" w:rsidRPr="00ED5D53">
        <w:rPr>
          <w:rFonts w:ascii="Arial" w:eastAsia="Times New Roman" w:hAnsi="Arial" w:cs="Arial"/>
          <w:b/>
          <w:bCs/>
          <w:sz w:val="20"/>
          <w:szCs w:val="20"/>
        </w:rPr>
        <w:fldChar w:fldCharType="begin"/>
      </w:r>
      <w:r w:rsidRPr="00ED5D53">
        <w:rPr>
          <w:rFonts w:ascii="Arial" w:eastAsia="Times New Roman" w:hAnsi="Arial" w:cs="Arial"/>
          <w:b/>
          <w:bCs/>
          <w:sz w:val="20"/>
          <w:szCs w:val="20"/>
        </w:rPr>
        <w:instrText xml:space="preserve"> SEQ Tabla \* ARABIC </w:instrText>
      </w:r>
      <w:r w:rsidR="00E60FC0" w:rsidRPr="00ED5D53">
        <w:rPr>
          <w:rFonts w:ascii="Arial" w:eastAsia="Times New Roman" w:hAnsi="Arial" w:cs="Arial"/>
          <w:b/>
          <w:bCs/>
          <w:sz w:val="20"/>
          <w:szCs w:val="20"/>
        </w:rPr>
        <w:fldChar w:fldCharType="separate"/>
      </w:r>
      <w:r w:rsidRPr="00ED5D53">
        <w:rPr>
          <w:rFonts w:ascii="Arial" w:eastAsia="Times New Roman" w:hAnsi="Arial" w:cs="Arial"/>
          <w:b/>
          <w:bCs/>
          <w:noProof/>
          <w:sz w:val="20"/>
          <w:szCs w:val="20"/>
        </w:rPr>
        <w:t>3</w:t>
      </w:r>
      <w:r w:rsidR="00E60FC0" w:rsidRPr="00ED5D53">
        <w:rPr>
          <w:rFonts w:ascii="Arial" w:eastAsia="Times New Roman" w:hAnsi="Arial" w:cs="Arial"/>
          <w:b/>
          <w:bCs/>
          <w:sz w:val="20"/>
          <w:szCs w:val="20"/>
        </w:rPr>
        <w:fldChar w:fldCharType="end"/>
      </w:r>
      <w:r w:rsidRPr="00ED5D53">
        <w:rPr>
          <w:rFonts w:ascii="Arial" w:eastAsia="Times New Roman" w:hAnsi="Arial" w:cs="Arial"/>
          <w:i/>
          <w:iCs/>
          <w:sz w:val="20"/>
          <w:szCs w:val="20"/>
        </w:rPr>
        <w:br/>
        <w:t>Correlación entre Medidas de Protección y Delito de Feminicidio</w:t>
      </w:r>
      <w:bookmarkEnd w:id="8"/>
    </w:p>
    <w:tbl>
      <w:tblPr>
        <w:tblW w:w="8663" w:type="dxa"/>
        <w:jc w:val="center"/>
        <w:tblBorders>
          <w:top w:val="single" w:sz="4" w:space="0" w:color="auto"/>
          <w:bottom w:val="single" w:sz="4" w:space="0" w:color="auto"/>
        </w:tblBorders>
        <w:tblLayout w:type="fixed"/>
        <w:tblCellMar>
          <w:left w:w="0" w:type="dxa"/>
          <w:right w:w="0" w:type="dxa"/>
        </w:tblCellMar>
        <w:tblLook w:val="0000"/>
      </w:tblPr>
      <w:tblGrid>
        <w:gridCol w:w="1448"/>
        <w:gridCol w:w="2171"/>
        <w:gridCol w:w="1884"/>
        <w:gridCol w:w="1578"/>
        <w:gridCol w:w="1582"/>
      </w:tblGrid>
      <w:tr w:rsidR="001921B5" w:rsidRPr="00ED5D53" w:rsidTr="004F3748">
        <w:trPr>
          <w:cantSplit/>
          <w:trHeight w:val="620"/>
          <w:jc w:val="center"/>
        </w:trPr>
        <w:tc>
          <w:tcPr>
            <w:tcW w:w="5503" w:type="dxa"/>
            <w:gridSpan w:val="3"/>
            <w:tcBorders>
              <w:top w:val="single" w:sz="4" w:space="0" w:color="auto"/>
              <w:bottom w:val="single" w:sz="4" w:space="0" w:color="auto"/>
            </w:tcBorders>
            <w:shd w:val="clear" w:color="auto" w:fill="auto"/>
            <w:vAlign w:val="bottom"/>
          </w:tcPr>
          <w:p w:rsidR="001921B5" w:rsidRPr="00ED5D53" w:rsidRDefault="001921B5" w:rsidP="001921B5">
            <w:pPr>
              <w:autoSpaceDE w:val="0"/>
              <w:autoSpaceDN w:val="0"/>
              <w:adjustRightInd w:val="0"/>
              <w:spacing w:line="240" w:lineRule="auto"/>
              <w:ind w:firstLine="0"/>
              <w:jc w:val="left"/>
              <w:rPr>
                <w:rFonts w:ascii="Arial" w:eastAsia="Calibri" w:hAnsi="Arial" w:cs="Arial"/>
                <w:color w:val="000000"/>
                <w:sz w:val="20"/>
                <w:szCs w:val="20"/>
              </w:rPr>
            </w:pPr>
            <w:r w:rsidRPr="00ED5D53">
              <w:rPr>
                <w:rFonts w:ascii="Arial" w:eastAsia="Calibri" w:hAnsi="Arial" w:cs="Arial"/>
                <w:b/>
                <w:color w:val="000000"/>
                <w:sz w:val="20"/>
                <w:szCs w:val="20"/>
              </w:rPr>
              <w:tab/>
            </w:r>
            <w:r w:rsidRPr="00ED5D53">
              <w:rPr>
                <w:rFonts w:ascii="Arial" w:eastAsia="Calibri" w:hAnsi="Arial" w:cs="Arial"/>
                <w:b/>
                <w:color w:val="000000"/>
                <w:sz w:val="20"/>
                <w:szCs w:val="20"/>
              </w:rPr>
              <w:tab/>
            </w:r>
            <w:r w:rsidRPr="00ED5D53">
              <w:rPr>
                <w:rFonts w:ascii="Arial" w:eastAsia="Calibri" w:hAnsi="Arial" w:cs="Arial"/>
                <w:b/>
                <w:color w:val="000000"/>
                <w:sz w:val="20"/>
                <w:szCs w:val="20"/>
              </w:rPr>
              <w:tab/>
            </w:r>
            <w:r w:rsidRPr="00ED5D53">
              <w:rPr>
                <w:rFonts w:ascii="Arial" w:eastAsia="Calibri" w:hAnsi="Arial" w:cs="Arial"/>
                <w:b/>
                <w:color w:val="000000"/>
                <w:sz w:val="20"/>
                <w:szCs w:val="20"/>
              </w:rPr>
              <w:tab/>
            </w:r>
            <w:r w:rsidRPr="00ED5D53">
              <w:rPr>
                <w:rFonts w:ascii="Arial" w:eastAsia="Calibri" w:hAnsi="Arial" w:cs="Arial"/>
                <w:b/>
                <w:color w:val="000000"/>
                <w:sz w:val="20"/>
                <w:szCs w:val="20"/>
              </w:rPr>
              <w:tab/>
            </w:r>
          </w:p>
        </w:tc>
        <w:tc>
          <w:tcPr>
            <w:tcW w:w="1578" w:type="dxa"/>
            <w:tcBorders>
              <w:top w:val="single" w:sz="4" w:space="0" w:color="auto"/>
              <w:bottom w:val="single" w:sz="4" w:space="0" w:color="auto"/>
            </w:tcBorders>
            <w:shd w:val="clear" w:color="auto" w:fill="auto"/>
            <w:vAlign w:val="bottom"/>
          </w:tcPr>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VIOLENCIA FÍSICA</w:t>
            </w:r>
          </w:p>
        </w:tc>
        <w:tc>
          <w:tcPr>
            <w:tcW w:w="1582" w:type="dxa"/>
            <w:tcBorders>
              <w:top w:val="single" w:sz="4" w:space="0" w:color="auto"/>
              <w:bottom w:val="single" w:sz="4" w:space="0" w:color="auto"/>
            </w:tcBorders>
            <w:shd w:val="clear" w:color="auto" w:fill="auto"/>
            <w:vAlign w:val="bottom"/>
          </w:tcPr>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DELITO DE FEMINICIDIO</w:t>
            </w:r>
          </w:p>
        </w:tc>
      </w:tr>
      <w:tr w:rsidR="001921B5" w:rsidRPr="00ED5D53" w:rsidTr="004F3748">
        <w:trPr>
          <w:cantSplit/>
          <w:trHeight w:val="620"/>
          <w:jc w:val="center"/>
        </w:trPr>
        <w:tc>
          <w:tcPr>
            <w:tcW w:w="1448" w:type="dxa"/>
            <w:vMerge w:val="restart"/>
            <w:tcBorders>
              <w:top w:val="single" w:sz="4" w:space="0" w:color="auto"/>
            </w:tcBorders>
            <w:shd w:val="clear" w:color="auto" w:fill="auto"/>
          </w:tcPr>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Rho Spearman</w:t>
            </w:r>
          </w:p>
        </w:tc>
        <w:tc>
          <w:tcPr>
            <w:tcW w:w="2171" w:type="dxa"/>
            <w:vMerge w:val="restart"/>
            <w:tcBorders>
              <w:top w:val="single" w:sz="4" w:space="0" w:color="auto"/>
            </w:tcBorders>
            <w:shd w:val="clear" w:color="auto" w:fill="auto"/>
          </w:tcPr>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 xml:space="preserve">MEDIDAS </w:t>
            </w:r>
          </w:p>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 xml:space="preserve">DE </w:t>
            </w:r>
          </w:p>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PROTECCIÓN</w:t>
            </w:r>
          </w:p>
        </w:tc>
        <w:tc>
          <w:tcPr>
            <w:tcW w:w="1884" w:type="dxa"/>
            <w:tcBorders>
              <w:top w:val="single" w:sz="4" w:space="0" w:color="auto"/>
            </w:tcBorders>
            <w:shd w:val="clear" w:color="auto" w:fill="auto"/>
          </w:tcPr>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Coeficiente de correlación</w:t>
            </w:r>
          </w:p>
        </w:tc>
        <w:tc>
          <w:tcPr>
            <w:tcW w:w="1578" w:type="dxa"/>
            <w:tcBorders>
              <w:top w:val="single" w:sz="4" w:space="0" w:color="auto"/>
            </w:tcBorders>
            <w:shd w:val="clear" w:color="auto" w:fill="auto"/>
          </w:tcPr>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1,000</w:t>
            </w:r>
          </w:p>
        </w:tc>
        <w:tc>
          <w:tcPr>
            <w:tcW w:w="1582" w:type="dxa"/>
            <w:tcBorders>
              <w:top w:val="single" w:sz="4" w:space="0" w:color="auto"/>
            </w:tcBorders>
            <w:shd w:val="clear" w:color="auto" w:fill="auto"/>
          </w:tcPr>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,501</w:t>
            </w:r>
            <w:r w:rsidRPr="00ED5D53">
              <w:rPr>
                <w:rFonts w:ascii="Arial" w:eastAsia="Calibri" w:hAnsi="Arial" w:cs="Arial"/>
                <w:color w:val="000000"/>
                <w:sz w:val="20"/>
                <w:szCs w:val="20"/>
                <w:vertAlign w:val="superscript"/>
              </w:rPr>
              <w:t>**</w:t>
            </w:r>
          </w:p>
        </w:tc>
      </w:tr>
      <w:tr w:rsidR="001921B5" w:rsidRPr="00ED5D53" w:rsidTr="004F3748">
        <w:trPr>
          <w:cantSplit/>
          <w:trHeight w:val="331"/>
          <w:jc w:val="center"/>
        </w:trPr>
        <w:tc>
          <w:tcPr>
            <w:tcW w:w="1448" w:type="dxa"/>
            <w:vMerge/>
            <w:shd w:val="clear" w:color="auto" w:fill="auto"/>
          </w:tcPr>
          <w:p w:rsidR="001921B5" w:rsidRPr="00ED5D53" w:rsidRDefault="001921B5" w:rsidP="001921B5">
            <w:pPr>
              <w:autoSpaceDE w:val="0"/>
              <w:autoSpaceDN w:val="0"/>
              <w:adjustRightInd w:val="0"/>
              <w:spacing w:line="240" w:lineRule="auto"/>
              <w:ind w:firstLine="0"/>
              <w:jc w:val="left"/>
              <w:rPr>
                <w:rFonts w:ascii="Arial" w:eastAsia="Calibri" w:hAnsi="Arial" w:cs="Arial"/>
                <w:color w:val="000000"/>
                <w:sz w:val="20"/>
                <w:szCs w:val="20"/>
              </w:rPr>
            </w:pPr>
          </w:p>
        </w:tc>
        <w:tc>
          <w:tcPr>
            <w:tcW w:w="2171" w:type="dxa"/>
            <w:vMerge/>
            <w:shd w:val="clear" w:color="auto" w:fill="auto"/>
          </w:tcPr>
          <w:p w:rsidR="001921B5" w:rsidRPr="00ED5D53" w:rsidRDefault="001921B5" w:rsidP="001921B5">
            <w:pPr>
              <w:autoSpaceDE w:val="0"/>
              <w:autoSpaceDN w:val="0"/>
              <w:adjustRightInd w:val="0"/>
              <w:spacing w:line="240" w:lineRule="auto"/>
              <w:ind w:firstLine="0"/>
              <w:jc w:val="left"/>
              <w:rPr>
                <w:rFonts w:ascii="Arial" w:eastAsia="Calibri" w:hAnsi="Arial" w:cs="Arial"/>
                <w:color w:val="000000"/>
                <w:sz w:val="20"/>
                <w:szCs w:val="20"/>
              </w:rPr>
            </w:pPr>
          </w:p>
        </w:tc>
        <w:tc>
          <w:tcPr>
            <w:tcW w:w="1884" w:type="dxa"/>
            <w:shd w:val="clear" w:color="auto" w:fill="auto"/>
          </w:tcPr>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Sig. (bilateral)</w:t>
            </w:r>
          </w:p>
        </w:tc>
        <w:tc>
          <w:tcPr>
            <w:tcW w:w="1578" w:type="dxa"/>
            <w:shd w:val="clear" w:color="auto" w:fill="auto"/>
          </w:tcPr>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w:t>
            </w:r>
          </w:p>
        </w:tc>
        <w:tc>
          <w:tcPr>
            <w:tcW w:w="1582" w:type="dxa"/>
            <w:shd w:val="clear" w:color="auto" w:fill="auto"/>
          </w:tcPr>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,000</w:t>
            </w:r>
          </w:p>
        </w:tc>
      </w:tr>
      <w:tr w:rsidR="001921B5" w:rsidRPr="00ED5D53" w:rsidTr="004F3748">
        <w:trPr>
          <w:cantSplit/>
          <w:trHeight w:val="317"/>
          <w:jc w:val="center"/>
        </w:trPr>
        <w:tc>
          <w:tcPr>
            <w:tcW w:w="1448" w:type="dxa"/>
            <w:vMerge/>
            <w:shd w:val="clear" w:color="auto" w:fill="auto"/>
          </w:tcPr>
          <w:p w:rsidR="001921B5" w:rsidRPr="00ED5D53" w:rsidRDefault="001921B5" w:rsidP="001921B5">
            <w:pPr>
              <w:autoSpaceDE w:val="0"/>
              <w:autoSpaceDN w:val="0"/>
              <w:adjustRightInd w:val="0"/>
              <w:spacing w:line="240" w:lineRule="auto"/>
              <w:ind w:firstLine="0"/>
              <w:jc w:val="left"/>
              <w:rPr>
                <w:rFonts w:ascii="Arial" w:eastAsia="Calibri" w:hAnsi="Arial" w:cs="Arial"/>
                <w:color w:val="000000"/>
                <w:sz w:val="20"/>
                <w:szCs w:val="20"/>
              </w:rPr>
            </w:pPr>
          </w:p>
        </w:tc>
        <w:tc>
          <w:tcPr>
            <w:tcW w:w="2171" w:type="dxa"/>
            <w:vMerge/>
            <w:shd w:val="clear" w:color="auto" w:fill="auto"/>
          </w:tcPr>
          <w:p w:rsidR="001921B5" w:rsidRPr="00ED5D53" w:rsidRDefault="001921B5" w:rsidP="001921B5">
            <w:pPr>
              <w:autoSpaceDE w:val="0"/>
              <w:autoSpaceDN w:val="0"/>
              <w:adjustRightInd w:val="0"/>
              <w:spacing w:line="240" w:lineRule="auto"/>
              <w:ind w:firstLine="0"/>
              <w:jc w:val="left"/>
              <w:rPr>
                <w:rFonts w:ascii="Arial" w:eastAsia="Calibri" w:hAnsi="Arial" w:cs="Arial"/>
                <w:color w:val="000000"/>
                <w:sz w:val="20"/>
                <w:szCs w:val="20"/>
              </w:rPr>
            </w:pPr>
          </w:p>
        </w:tc>
        <w:tc>
          <w:tcPr>
            <w:tcW w:w="1884" w:type="dxa"/>
            <w:shd w:val="clear" w:color="auto" w:fill="auto"/>
          </w:tcPr>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N</w:t>
            </w:r>
          </w:p>
        </w:tc>
        <w:tc>
          <w:tcPr>
            <w:tcW w:w="1578" w:type="dxa"/>
            <w:shd w:val="clear" w:color="auto" w:fill="auto"/>
          </w:tcPr>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163</w:t>
            </w:r>
          </w:p>
        </w:tc>
        <w:tc>
          <w:tcPr>
            <w:tcW w:w="1582" w:type="dxa"/>
            <w:shd w:val="clear" w:color="auto" w:fill="auto"/>
          </w:tcPr>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163</w:t>
            </w:r>
          </w:p>
        </w:tc>
      </w:tr>
      <w:tr w:rsidR="001921B5" w:rsidRPr="00ED5D53" w:rsidTr="004F3748">
        <w:trPr>
          <w:cantSplit/>
          <w:trHeight w:val="634"/>
          <w:jc w:val="center"/>
        </w:trPr>
        <w:tc>
          <w:tcPr>
            <w:tcW w:w="1448" w:type="dxa"/>
            <w:vMerge/>
            <w:shd w:val="clear" w:color="auto" w:fill="auto"/>
          </w:tcPr>
          <w:p w:rsidR="001921B5" w:rsidRPr="00ED5D53" w:rsidRDefault="001921B5" w:rsidP="001921B5">
            <w:pPr>
              <w:autoSpaceDE w:val="0"/>
              <w:autoSpaceDN w:val="0"/>
              <w:adjustRightInd w:val="0"/>
              <w:spacing w:line="240" w:lineRule="auto"/>
              <w:ind w:firstLine="0"/>
              <w:jc w:val="left"/>
              <w:rPr>
                <w:rFonts w:ascii="Arial" w:eastAsia="Calibri" w:hAnsi="Arial" w:cs="Arial"/>
                <w:color w:val="000000"/>
                <w:sz w:val="20"/>
                <w:szCs w:val="20"/>
              </w:rPr>
            </w:pPr>
          </w:p>
        </w:tc>
        <w:tc>
          <w:tcPr>
            <w:tcW w:w="2171" w:type="dxa"/>
            <w:vMerge w:val="restart"/>
            <w:shd w:val="clear" w:color="auto" w:fill="auto"/>
          </w:tcPr>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DELITODE FEMINICIDIO</w:t>
            </w:r>
          </w:p>
        </w:tc>
        <w:tc>
          <w:tcPr>
            <w:tcW w:w="1884" w:type="dxa"/>
            <w:shd w:val="clear" w:color="auto" w:fill="auto"/>
          </w:tcPr>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Coeficiente de correlación</w:t>
            </w:r>
          </w:p>
        </w:tc>
        <w:tc>
          <w:tcPr>
            <w:tcW w:w="1578" w:type="dxa"/>
            <w:shd w:val="clear" w:color="auto" w:fill="auto"/>
          </w:tcPr>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,501</w:t>
            </w:r>
            <w:r w:rsidRPr="00ED5D53">
              <w:rPr>
                <w:rFonts w:ascii="Arial" w:eastAsia="Calibri" w:hAnsi="Arial" w:cs="Arial"/>
                <w:color w:val="000000"/>
                <w:sz w:val="20"/>
                <w:szCs w:val="20"/>
                <w:vertAlign w:val="superscript"/>
              </w:rPr>
              <w:t>**</w:t>
            </w:r>
          </w:p>
        </w:tc>
        <w:tc>
          <w:tcPr>
            <w:tcW w:w="1582" w:type="dxa"/>
            <w:shd w:val="clear" w:color="auto" w:fill="auto"/>
          </w:tcPr>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1,000</w:t>
            </w:r>
          </w:p>
        </w:tc>
      </w:tr>
      <w:tr w:rsidR="001921B5" w:rsidRPr="00ED5D53" w:rsidTr="004F3748">
        <w:trPr>
          <w:cantSplit/>
          <w:trHeight w:val="317"/>
          <w:jc w:val="center"/>
        </w:trPr>
        <w:tc>
          <w:tcPr>
            <w:tcW w:w="1448" w:type="dxa"/>
            <w:vMerge/>
            <w:shd w:val="clear" w:color="auto" w:fill="auto"/>
          </w:tcPr>
          <w:p w:rsidR="001921B5" w:rsidRPr="00ED5D53" w:rsidRDefault="001921B5" w:rsidP="001921B5">
            <w:pPr>
              <w:autoSpaceDE w:val="0"/>
              <w:autoSpaceDN w:val="0"/>
              <w:adjustRightInd w:val="0"/>
              <w:spacing w:line="240" w:lineRule="auto"/>
              <w:ind w:firstLine="0"/>
              <w:jc w:val="left"/>
              <w:rPr>
                <w:rFonts w:ascii="Arial" w:eastAsia="Calibri" w:hAnsi="Arial" w:cs="Arial"/>
                <w:color w:val="000000"/>
                <w:sz w:val="20"/>
                <w:szCs w:val="20"/>
              </w:rPr>
            </w:pPr>
          </w:p>
        </w:tc>
        <w:tc>
          <w:tcPr>
            <w:tcW w:w="2171" w:type="dxa"/>
            <w:vMerge/>
            <w:shd w:val="clear" w:color="auto" w:fill="auto"/>
          </w:tcPr>
          <w:p w:rsidR="001921B5" w:rsidRPr="00ED5D53" w:rsidRDefault="001921B5" w:rsidP="001921B5">
            <w:pPr>
              <w:autoSpaceDE w:val="0"/>
              <w:autoSpaceDN w:val="0"/>
              <w:adjustRightInd w:val="0"/>
              <w:spacing w:line="240" w:lineRule="auto"/>
              <w:ind w:firstLine="0"/>
              <w:jc w:val="left"/>
              <w:rPr>
                <w:rFonts w:ascii="Arial" w:eastAsia="Calibri" w:hAnsi="Arial" w:cs="Arial"/>
                <w:color w:val="000000"/>
                <w:sz w:val="20"/>
                <w:szCs w:val="20"/>
              </w:rPr>
            </w:pPr>
          </w:p>
        </w:tc>
        <w:tc>
          <w:tcPr>
            <w:tcW w:w="1884" w:type="dxa"/>
            <w:shd w:val="clear" w:color="auto" w:fill="auto"/>
          </w:tcPr>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Sig. (bilateral)</w:t>
            </w:r>
          </w:p>
        </w:tc>
        <w:tc>
          <w:tcPr>
            <w:tcW w:w="1578" w:type="dxa"/>
            <w:shd w:val="clear" w:color="auto" w:fill="auto"/>
          </w:tcPr>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,000</w:t>
            </w:r>
          </w:p>
        </w:tc>
        <w:tc>
          <w:tcPr>
            <w:tcW w:w="1582" w:type="dxa"/>
            <w:shd w:val="clear" w:color="auto" w:fill="auto"/>
          </w:tcPr>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w:t>
            </w:r>
          </w:p>
        </w:tc>
      </w:tr>
      <w:tr w:rsidR="001921B5" w:rsidRPr="00ED5D53" w:rsidTr="004F3748">
        <w:trPr>
          <w:cantSplit/>
          <w:trHeight w:val="331"/>
          <w:jc w:val="center"/>
        </w:trPr>
        <w:tc>
          <w:tcPr>
            <w:tcW w:w="1448" w:type="dxa"/>
            <w:vMerge/>
            <w:shd w:val="clear" w:color="auto" w:fill="auto"/>
          </w:tcPr>
          <w:p w:rsidR="001921B5" w:rsidRPr="00ED5D53" w:rsidRDefault="001921B5" w:rsidP="001921B5">
            <w:pPr>
              <w:autoSpaceDE w:val="0"/>
              <w:autoSpaceDN w:val="0"/>
              <w:adjustRightInd w:val="0"/>
              <w:spacing w:line="240" w:lineRule="auto"/>
              <w:ind w:firstLine="0"/>
              <w:jc w:val="left"/>
              <w:rPr>
                <w:rFonts w:ascii="Arial" w:eastAsia="Calibri" w:hAnsi="Arial" w:cs="Arial"/>
                <w:color w:val="000000"/>
                <w:sz w:val="20"/>
                <w:szCs w:val="20"/>
              </w:rPr>
            </w:pPr>
          </w:p>
        </w:tc>
        <w:tc>
          <w:tcPr>
            <w:tcW w:w="2171" w:type="dxa"/>
            <w:vMerge/>
            <w:shd w:val="clear" w:color="auto" w:fill="auto"/>
          </w:tcPr>
          <w:p w:rsidR="001921B5" w:rsidRPr="00ED5D53" w:rsidRDefault="001921B5" w:rsidP="001921B5">
            <w:pPr>
              <w:autoSpaceDE w:val="0"/>
              <w:autoSpaceDN w:val="0"/>
              <w:adjustRightInd w:val="0"/>
              <w:spacing w:line="240" w:lineRule="auto"/>
              <w:ind w:firstLine="0"/>
              <w:jc w:val="left"/>
              <w:rPr>
                <w:rFonts w:ascii="Arial" w:eastAsia="Calibri" w:hAnsi="Arial" w:cs="Arial"/>
                <w:color w:val="000000"/>
                <w:sz w:val="20"/>
                <w:szCs w:val="20"/>
              </w:rPr>
            </w:pPr>
          </w:p>
        </w:tc>
        <w:tc>
          <w:tcPr>
            <w:tcW w:w="1884" w:type="dxa"/>
            <w:shd w:val="clear" w:color="auto" w:fill="auto"/>
          </w:tcPr>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N</w:t>
            </w:r>
          </w:p>
        </w:tc>
        <w:tc>
          <w:tcPr>
            <w:tcW w:w="1578" w:type="dxa"/>
            <w:shd w:val="clear" w:color="auto" w:fill="auto"/>
          </w:tcPr>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163</w:t>
            </w:r>
          </w:p>
        </w:tc>
        <w:tc>
          <w:tcPr>
            <w:tcW w:w="1582" w:type="dxa"/>
            <w:shd w:val="clear" w:color="auto" w:fill="auto"/>
          </w:tcPr>
          <w:p w:rsidR="001921B5" w:rsidRPr="00ED5D53" w:rsidRDefault="001921B5" w:rsidP="001921B5">
            <w:pPr>
              <w:autoSpaceDE w:val="0"/>
              <w:autoSpaceDN w:val="0"/>
              <w:adjustRightInd w:val="0"/>
              <w:spacing w:line="240" w:lineRule="auto"/>
              <w:ind w:right="60" w:firstLine="0"/>
              <w:jc w:val="left"/>
              <w:rPr>
                <w:rFonts w:ascii="Arial" w:eastAsia="Calibri" w:hAnsi="Arial" w:cs="Arial"/>
                <w:color w:val="000000"/>
                <w:sz w:val="20"/>
                <w:szCs w:val="20"/>
              </w:rPr>
            </w:pPr>
            <w:r w:rsidRPr="00ED5D53">
              <w:rPr>
                <w:rFonts w:ascii="Arial" w:eastAsia="Calibri" w:hAnsi="Arial" w:cs="Arial"/>
                <w:color w:val="000000"/>
                <w:sz w:val="20"/>
                <w:szCs w:val="20"/>
              </w:rPr>
              <w:t>163</w:t>
            </w:r>
          </w:p>
        </w:tc>
      </w:tr>
    </w:tbl>
    <w:p w:rsidR="001921B5" w:rsidRPr="00ED5D53" w:rsidRDefault="001921B5" w:rsidP="001921B5">
      <w:pPr>
        <w:autoSpaceDE w:val="0"/>
        <w:autoSpaceDN w:val="0"/>
        <w:adjustRightInd w:val="0"/>
        <w:spacing w:line="240" w:lineRule="auto"/>
        <w:rPr>
          <w:rFonts w:ascii="Arial" w:eastAsia="Calibri" w:hAnsi="Arial" w:cs="Arial"/>
          <w:color w:val="000000"/>
          <w:sz w:val="20"/>
          <w:szCs w:val="20"/>
        </w:rPr>
      </w:pPr>
      <w:r w:rsidRPr="00ED5D53">
        <w:rPr>
          <w:rFonts w:ascii="Arial" w:eastAsia="Calibri" w:hAnsi="Arial" w:cs="Arial"/>
          <w:color w:val="000000"/>
          <w:sz w:val="20"/>
          <w:szCs w:val="20"/>
        </w:rPr>
        <w:t>Esta tabla nos muestra los resultados de correlación de la dimensión medidas de protección con el delito de Feminicidio. Las medidas de protección no estarían siendo eficaces con el Delito de feminicidio con una moderada relación o asociatividad de 50.10%. Lo que demuestra una moderada asociatividad entre variables</w:t>
      </w:r>
    </w:p>
    <w:p w:rsidR="001921B5" w:rsidRPr="00ED5D53" w:rsidRDefault="001921B5" w:rsidP="001921B5">
      <w:pPr>
        <w:keepNext/>
        <w:keepLines/>
        <w:spacing w:line="240" w:lineRule="auto"/>
        <w:ind w:firstLine="0"/>
        <w:jc w:val="left"/>
        <w:outlineLvl w:val="2"/>
        <w:rPr>
          <w:rFonts w:ascii="Arial" w:eastAsia="Times New Roman" w:hAnsi="Arial" w:cs="Arial"/>
          <w:b/>
          <w:i/>
          <w:snapToGrid w:val="0"/>
          <w:sz w:val="20"/>
          <w:szCs w:val="20"/>
          <w:lang w:eastAsia="es-PE"/>
        </w:rPr>
      </w:pPr>
      <w:bookmarkStart w:id="9" w:name="_Toc93251129"/>
      <w:bookmarkStart w:id="10" w:name="_Toc93257916"/>
      <w:r w:rsidRPr="00ED5D53">
        <w:rPr>
          <w:rFonts w:ascii="Arial" w:eastAsia="Times New Roman" w:hAnsi="Arial" w:cs="Arial"/>
          <w:b/>
          <w:i/>
          <w:snapToGrid w:val="0"/>
          <w:sz w:val="20"/>
          <w:szCs w:val="20"/>
          <w:lang w:eastAsia="es-PE"/>
        </w:rPr>
        <w:t>Hipótesis específica N°2</w:t>
      </w:r>
      <w:bookmarkEnd w:id="9"/>
      <w:bookmarkEnd w:id="10"/>
    </w:p>
    <w:p w:rsidR="001921B5" w:rsidRPr="00ED5D53" w:rsidRDefault="001921B5" w:rsidP="001921B5">
      <w:pPr>
        <w:numPr>
          <w:ilvl w:val="0"/>
          <w:numId w:val="12"/>
        </w:numPr>
        <w:tabs>
          <w:tab w:val="left" w:pos="4395"/>
        </w:tabs>
        <w:spacing w:line="240" w:lineRule="auto"/>
        <w:ind w:left="709" w:hanging="283"/>
        <w:contextualSpacing/>
        <w:rPr>
          <w:rFonts w:ascii="Arial" w:eastAsia="Calibri" w:hAnsi="Arial" w:cs="Arial"/>
          <w:bCs/>
          <w:color w:val="000000"/>
          <w:sz w:val="20"/>
          <w:szCs w:val="20"/>
        </w:rPr>
      </w:pPr>
      <w:r w:rsidRPr="00ED5D53">
        <w:rPr>
          <w:rFonts w:ascii="Arial" w:eastAsia="Calibri" w:hAnsi="Arial" w:cs="Arial"/>
          <w:snapToGrid w:val="0"/>
          <w:color w:val="000000"/>
          <w:sz w:val="20"/>
          <w:szCs w:val="20"/>
        </w:rPr>
        <w:t>H</w:t>
      </w:r>
      <w:r w:rsidRPr="00ED5D53">
        <w:rPr>
          <w:rFonts w:ascii="Arial" w:eastAsia="Calibri" w:hAnsi="Arial" w:cs="Arial"/>
          <w:snapToGrid w:val="0"/>
          <w:color w:val="000000"/>
          <w:sz w:val="20"/>
          <w:szCs w:val="20"/>
          <w:vertAlign w:val="subscript"/>
        </w:rPr>
        <w:t>0</w:t>
      </w:r>
      <w:r w:rsidRPr="00ED5D53">
        <w:rPr>
          <w:rFonts w:ascii="Arial" w:eastAsia="Calibri" w:hAnsi="Arial" w:cs="Arial"/>
          <w:snapToGrid w:val="0"/>
          <w:color w:val="000000"/>
          <w:sz w:val="20"/>
          <w:szCs w:val="20"/>
        </w:rPr>
        <w:t xml:space="preserve">: </w:t>
      </w:r>
      <w:r w:rsidRPr="00ED5D53">
        <w:rPr>
          <w:rFonts w:ascii="Arial" w:eastAsia="Calibri" w:hAnsi="Arial" w:cs="Arial"/>
          <w:bCs/>
          <w:color w:val="000000"/>
          <w:sz w:val="20"/>
          <w:szCs w:val="20"/>
        </w:rPr>
        <w:t>La Violencia psicológica, no se relaciona con el Delito de feminicidio en la provincia de Lima.</w:t>
      </w:r>
    </w:p>
    <w:p w:rsidR="001921B5" w:rsidRPr="00ED5D53" w:rsidRDefault="001921B5" w:rsidP="001921B5">
      <w:pPr>
        <w:numPr>
          <w:ilvl w:val="0"/>
          <w:numId w:val="12"/>
        </w:numPr>
        <w:tabs>
          <w:tab w:val="left" w:pos="4395"/>
        </w:tabs>
        <w:spacing w:line="240" w:lineRule="auto"/>
        <w:ind w:left="709" w:hanging="283"/>
        <w:contextualSpacing/>
        <w:rPr>
          <w:rFonts w:ascii="Arial" w:eastAsia="Calibri" w:hAnsi="Arial" w:cs="Arial"/>
          <w:bCs/>
          <w:color w:val="000000"/>
          <w:sz w:val="20"/>
          <w:szCs w:val="20"/>
        </w:rPr>
      </w:pPr>
      <w:r w:rsidRPr="00ED5D53">
        <w:rPr>
          <w:rFonts w:ascii="Arial" w:eastAsia="Calibri" w:hAnsi="Arial" w:cs="Arial"/>
          <w:snapToGrid w:val="0"/>
          <w:color w:val="000000"/>
          <w:sz w:val="20"/>
          <w:szCs w:val="20"/>
        </w:rPr>
        <w:t>H</w:t>
      </w:r>
      <w:r w:rsidRPr="00ED5D53">
        <w:rPr>
          <w:rFonts w:ascii="Arial" w:eastAsia="Calibri" w:hAnsi="Arial" w:cs="Arial"/>
          <w:snapToGrid w:val="0"/>
          <w:color w:val="000000"/>
          <w:sz w:val="20"/>
          <w:szCs w:val="20"/>
          <w:vertAlign w:val="subscript"/>
        </w:rPr>
        <w:t>1</w:t>
      </w:r>
      <w:r w:rsidRPr="00ED5D53">
        <w:rPr>
          <w:rFonts w:ascii="Arial" w:eastAsia="Calibri" w:hAnsi="Arial" w:cs="Arial"/>
          <w:snapToGrid w:val="0"/>
          <w:color w:val="000000"/>
          <w:sz w:val="20"/>
          <w:szCs w:val="20"/>
        </w:rPr>
        <w:t xml:space="preserve">: </w:t>
      </w:r>
      <w:r w:rsidRPr="00ED5D53">
        <w:rPr>
          <w:rFonts w:ascii="Arial" w:eastAsia="Calibri" w:hAnsi="Arial" w:cs="Arial"/>
          <w:bCs/>
          <w:color w:val="000000"/>
          <w:sz w:val="20"/>
          <w:szCs w:val="20"/>
        </w:rPr>
        <w:t>La Violencia psicológica, si se relaciona con el Delito de feminicidio en la provincia de Lima.</w:t>
      </w:r>
    </w:p>
    <w:p w:rsidR="001921B5" w:rsidRPr="00ED5D53" w:rsidRDefault="001921B5" w:rsidP="001921B5">
      <w:pPr>
        <w:numPr>
          <w:ilvl w:val="0"/>
          <w:numId w:val="12"/>
        </w:numPr>
        <w:spacing w:line="240" w:lineRule="auto"/>
        <w:ind w:left="709" w:right="121" w:hanging="283"/>
        <w:contextualSpacing/>
        <w:rPr>
          <w:rFonts w:ascii="Arial" w:eastAsia="Times New Roman" w:hAnsi="Arial" w:cs="Arial"/>
          <w:snapToGrid w:val="0"/>
          <w:color w:val="000000"/>
          <w:sz w:val="20"/>
          <w:szCs w:val="20"/>
          <w:lang w:eastAsia="es-PE"/>
        </w:rPr>
      </w:pPr>
      <w:r w:rsidRPr="00ED5D53">
        <w:rPr>
          <w:rFonts w:ascii="Arial" w:eastAsia="Times New Roman" w:hAnsi="Arial" w:cs="Arial"/>
          <w:snapToGrid w:val="0"/>
          <w:color w:val="000000"/>
          <w:sz w:val="20"/>
          <w:szCs w:val="20"/>
          <w:lang w:eastAsia="es-PE"/>
        </w:rPr>
        <w:t>Nivel de significación (α): 0.05</w:t>
      </w:r>
    </w:p>
    <w:p w:rsidR="001921B5" w:rsidRPr="00ED5D53" w:rsidRDefault="001921B5" w:rsidP="001921B5">
      <w:pPr>
        <w:numPr>
          <w:ilvl w:val="0"/>
          <w:numId w:val="12"/>
        </w:numPr>
        <w:spacing w:line="240" w:lineRule="auto"/>
        <w:ind w:left="709" w:right="121" w:hanging="283"/>
        <w:contextualSpacing/>
        <w:rPr>
          <w:rFonts w:ascii="Arial" w:eastAsia="Times New Roman" w:hAnsi="Arial" w:cs="Arial"/>
          <w:snapToGrid w:val="0"/>
          <w:color w:val="000000"/>
          <w:sz w:val="20"/>
          <w:szCs w:val="20"/>
          <w:lang w:eastAsia="es-PE"/>
        </w:rPr>
      </w:pPr>
      <w:r w:rsidRPr="00ED5D53">
        <w:rPr>
          <w:rFonts w:ascii="Arial" w:eastAsia="Times New Roman" w:hAnsi="Arial" w:cs="Arial"/>
          <w:snapToGrid w:val="0"/>
          <w:color w:val="000000"/>
          <w:sz w:val="20"/>
          <w:szCs w:val="20"/>
          <w:lang w:eastAsia="es-PE"/>
        </w:rPr>
        <w:t>Prueba estadística: Rho de Spearman</w:t>
      </w:r>
    </w:p>
    <w:p w:rsidR="001921B5" w:rsidRPr="00ED5D53" w:rsidRDefault="001921B5" w:rsidP="001921B5">
      <w:pPr>
        <w:numPr>
          <w:ilvl w:val="0"/>
          <w:numId w:val="12"/>
        </w:numPr>
        <w:autoSpaceDE w:val="0"/>
        <w:autoSpaceDN w:val="0"/>
        <w:adjustRightInd w:val="0"/>
        <w:spacing w:line="240" w:lineRule="auto"/>
        <w:ind w:left="709" w:right="121" w:hanging="283"/>
        <w:contextualSpacing/>
        <w:rPr>
          <w:rFonts w:ascii="Arial" w:eastAsia="Calibri" w:hAnsi="Arial" w:cs="Arial"/>
          <w:color w:val="000000"/>
          <w:sz w:val="20"/>
          <w:szCs w:val="20"/>
        </w:rPr>
      </w:pPr>
      <w:r w:rsidRPr="00ED5D53">
        <w:rPr>
          <w:rFonts w:ascii="Arial" w:eastAsia="Times New Roman" w:hAnsi="Arial" w:cs="Arial"/>
          <w:snapToGrid w:val="0"/>
          <w:color w:val="000000"/>
          <w:sz w:val="20"/>
          <w:szCs w:val="20"/>
          <w:lang w:eastAsia="es-PE"/>
        </w:rPr>
        <w:t xml:space="preserve">Cálculo de prueba: </w:t>
      </w:r>
      <w:r w:rsidRPr="00ED5D53">
        <w:rPr>
          <w:rFonts w:ascii="Arial" w:eastAsia="Calibri" w:hAnsi="Arial" w:cs="Arial"/>
          <w:color w:val="000000"/>
          <w:sz w:val="20"/>
          <w:szCs w:val="20"/>
        </w:rPr>
        <w:t>Los resultados de la contratación de la prueba de hipótesis se realizaron mediante el estadístico Rho de Spearman al nivel de significación del 0.05 con los siguientes resultados.</w:t>
      </w:r>
    </w:p>
    <w:p w:rsidR="001921B5" w:rsidRPr="00ED5D53" w:rsidRDefault="001921B5" w:rsidP="001921B5">
      <w:pPr>
        <w:autoSpaceDE w:val="0"/>
        <w:autoSpaceDN w:val="0"/>
        <w:adjustRightInd w:val="0"/>
        <w:spacing w:line="480" w:lineRule="auto"/>
        <w:ind w:left="709" w:right="121" w:firstLine="0"/>
        <w:contextualSpacing/>
        <w:rPr>
          <w:rFonts w:ascii="Arial" w:eastAsia="Calibri" w:hAnsi="Arial" w:cs="Arial"/>
          <w:color w:val="000000"/>
          <w:sz w:val="20"/>
          <w:szCs w:val="20"/>
        </w:rPr>
      </w:pPr>
    </w:p>
    <w:p w:rsidR="001921B5" w:rsidRPr="00ED5D53" w:rsidRDefault="001921B5" w:rsidP="001921B5">
      <w:pPr>
        <w:keepNext/>
        <w:keepLines/>
        <w:spacing w:line="480" w:lineRule="auto"/>
        <w:ind w:firstLine="0"/>
        <w:jc w:val="left"/>
        <w:outlineLvl w:val="3"/>
        <w:rPr>
          <w:rFonts w:ascii="Arial" w:eastAsia="Times New Roman" w:hAnsi="Arial" w:cs="Arial"/>
          <w:i/>
          <w:iCs/>
          <w:sz w:val="20"/>
          <w:szCs w:val="20"/>
        </w:rPr>
      </w:pPr>
      <w:bookmarkStart w:id="11" w:name="_Toc93258183"/>
      <w:r w:rsidRPr="00ED5D53">
        <w:rPr>
          <w:rFonts w:ascii="Arial" w:eastAsia="Times New Roman" w:hAnsi="Arial" w:cs="Arial"/>
          <w:b/>
          <w:bCs/>
          <w:sz w:val="20"/>
          <w:szCs w:val="20"/>
        </w:rPr>
        <w:t xml:space="preserve">Tabla </w:t>
      </w:r>
      <w:r w:rsidR="00E60FC0" w:rsidRPr="00ED5D53">
        <w:rPr>
          <w:rFonts w:ascii="Arial" w:eastAsia="Times New Roman" w:hAnsi="Arial" w:cs="Arial"/>
          <w:b/>
          <w:bCs/>
          <w:sz w:val="20"/>
          <w:szCs w:val="20"/>
        </w:rPr>
        <w:fldChar w:fldCharType="begin"/>
      </w:r>
      <w:r w:rsidRPr="00ED5D53">
        <w:rPr>
          <w:rFonts w:ascii="Arial" w:eastAsia="Times New Roman" w:hAnsi="Arial" w:cs="Arial"/>
          <w:b/>
          <w:bCs/>
          <w:sz w:val="20"/>
          <w:szCs w:val="20"/>
        </w:rPr>
        <w:instrText xml:space="preserve"> SEQ Tabla \* ARABIC </w:instrText>
      </w:r>
      <w:r w:rsidR="00E60FC0" w:rsidRPr="00ED5D53">
        <w:rPr>
          <w:rFonts w:ascii="Arial" w:eastAsia="Times New Roman" w:hAnsi="Arial" w:cs="Arial"/>
          <w:b/>
          <w:bCs/>
          <w:sz w:val="20"/>
          <w:szCs w:val="20"/>
        </w:rPr>
        <w:fldChar w:fldCharType="separate"/>
      </w:r>
      <w:r w:rsidRPr="00ED5D53">
        <w:rPr>
          <w:rFonts w:ascii="Arial" w:eastAsia="Times New Roman" w:hAnsi="Arial" w:cs="Arial"/>
          <w:b/>
          <w:bCs/>
          <w:noProof/>
          <w:sz w:val="20"/>
          <w:szCs w:val="20"/>
        </w:rPr>
        <w:t>4</w:t>
      </w:r>
      <w:r w:rsidR="00E60FC0" w:rsidRPr="00ED5D53">
        <w:rPr>
          <w:rFonts w:ascii="Arial" w:eastAsia="Times New Roman" w:hAnsi="Arial" w:cs="Arial"/>
          <w:b/>
          <w:bCs/>
          <w:sz w:val="20"/>
          <w:szCs w:val="20"/>
        </w:rPr>
        <w:fldChar w:fldCharType="end"/>
      </w:r>
      <w:r w:rsidRPr="00ED5D53">
        <w:rPr>
          <w:rFonts w:ascii="Arial" w:eastAsia="Times New Roman" w:hAnsi="Arial" w:cs="Arial"/>
          <w:i/>
          <w:iCs/>
          <w:sz w:val="20"/>
          <w:szCs w:val="20"/>
        </w:rPr>
        <w:br/>
        <w:t>Correlación entre Violencia psicológica y Delito de Feminicidio</w:t>
      </w:r>
      <w:bookmarkEnd w:id="11"/>
    </w:p>
    <w:tbl>
      <w:tblPr>
        <w:tblW w:w="8754" w:type="dxa"/>
        <w:tblBorders>
          <w:top w:val="single" w:sz="4" w:space="0" w:color="auto"/>
          <w:bottom w:val="single" w:sz="4" w:space="0" w:color="auto"/>
        </w:tblBorders>
        <w:tblLayout w:type="fixed"/>
        <w:tblCellMar>
          <w:left w:w="0" w:type="dxa"/>
          <w:right w:w="0" w:type="dxa"/>
        </w:tblCellMar>
        <w:tblLook w:val="0000"/>
      </w:tblPr>
      <w:tblGrid>
        <w:gridCol w:w="1319"/>
        <w:gridCol w:w="1977"/>
        <w:gridCol w:w="1727"/>
        <w:gridCol w:w="1865"/>
        <w:gridCol w:w="1866"/>
      </w:tblGrid>
      <w:tr w:rsidR="001921B5" w:rsidRPr="00ED5D53" w:rsidTr="004F3748">
        <w:trPr>
          <w:cantSplit/>
          <w:trHeight w:val="719"/>
        </w:trPr>
        <w:tc>
          <w:tcPr>
            <w:tcW w:w="5023" w:type="dxa"/>
            <w:gridSpan w:val="3"/>
            <w:tcBorders>
              <w:top w:val="single" w:sz="4" w:space="0" w:color="auto"/>
              <w:bottom w:val="single" w:sz="4" w:space="0" w:color="auto"/>
            </w:tcBorders>
            <w:shd w:val="clear" w:color="auto" w:fill="auto"/>
            <w:vAlign w:val="bottom"/>
          </w:tcPr>
          <w:p w:rsidR="001921B5" w:rsidRPr="00ED5D53" w:rsidRDefault="001921B5" w:rsidP="001921B5">
            <w:pPr>
              <w:autoSpaceDE w:val="0"/>
              <w:autoSpaceDN w:val="0"/>
              <w:adjustRightInd w:val="0"/>
              <w:spacing w:line="240" w:lineRule="auto"/>
              <w:ind w:firstLine="0"/>
              <w:rPr>
                <w:rFonts w:ascii="Arial" w:eastAsia="Calibri" w:hAnsi="Arial" w:cs="Arial"/>
                <w:color w:val="000000"/>
                <w:sz w:val="20"/>
                <w:szCs w:val="20"/>
              </w:rPr>
            </w:pPr>
          </w:p>
        </w:tc>
        <w:tc>
          <w:tcPr>
            <w:tcW w:w="1865" w:type="dxa"/>
            <w:tcBorders>
              <w:top w:val="single" w:sz="4" w:space="0" w:color="auto"/>
              <w:bottom w:val="single" w:sz="4" w:space="0" w:color="auto"/>
            </w:tcBorders>
            <w:shd w:val="clear" w:color="auto" w:fill="auto"/>
            <w:vAlign w:val="bottom"/>
          </w:tcPr>
          <w:p w:rsidR="001921B5" w:rsidRPr="00ED5D53" w:rsidRDefault="001921B5" w:rsidP="001921B5">
            <w:pPr>
              <w:autoSpaceDE w:val="0"/>
              <w:autoSpaceDN w:val="0"/>
              <w:adjustRightInd w:val="0"/>
              <w:spacing w:line="240" w:lineRule="auto"/>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VIOLENCIA PSICOLÓGICA</w:t>
            </w:r>
          </w:p>
        </w:tc>
        <w:tc>
          <w:tcPr>
            <w:tcW w:w="1866" w:type="dxa"/>
            <w:tcBorders>
              <w:top w:val="single" w:sz="4" w:space="0" w:color="auto"/>
              <w:bottom w:val="single" w:sz="4" w:space="0" w:color="auto"/>
            </w:tcBorders>
            <w:shd w:val="clear" w:color="auto" w:fill="auto"/>
            <w:vAlign w:val="bottom"/>
          </w:tcPr>
          <w:p w:rsidR="001921B5" w:rsidRPr="00ED5D53" w:rsidRDefault="001921B5" w:rsidP="001921B5">
            <w:pPr>
              <w:autoSpaceDE w:val="0"/>
              <w:autoSpaceDN w:val="0"/>
              <w:adjustRightInd w:val="0"/>
              <w:spacing w:line="240" w:lineRule="auto"/>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DELITO DE FEMINICIDIO</w:t>
            </w:r>
          </w:p>
        </w:tc>
      </w:tr>
      <w:tr w:rsidR="001921B5" w:rsidRPr="00ED5D53" w:rsidTr="004F3748">
        <w:trPr>
          <w:cantSplit/>
          <w:trHeight w:val="736"/>
        </w:trPr>
        <w:tc>
          <w:tcPr>
            <w:tcW w:w="1319" w:type="dxa"/>
            <w:vMerge w:val="restart"/>
            <w:tcBorders>
              <w:top w:val="single" w:sz="4" w:space="0" w:color="auto"/>
            </w:tcBorders>
            <w:shd w:val="clear" w:color="auto" w:fill="auto"/>
          </w:tcPr>
          <w:p w:rsidR="001921B5" w:rsidRPr="00ED5D53" w:rsidRDefault="001921B5" w:rsidP="001921B5">
            <w:pPr>
              <w:autoSpaceDE w:val="0"/>
              <w:autoSpaceDN w:val="0"/>
              <w:adjustRightInd w:val="0"/>
              <w:spacing w:line="240" w:lineRule="auto"/>
              <w:ind w:firstLine="0"/>
              <w:rPr>
                <w:rFonts w:ascii="Arial" w:eastAsia="Calibri" w:hAnsi="Arial" w:cs="Arial"/>
                <w:color w:val="000000"/>
                <w:sz w:val="20"/>
                <w:szCs w:val="20"/>
              </w:rPr>
            </w:pPr>
            <w:r w:rsidRPr="00ED5D53">
              <w:rPr>
                <w:rFonts w:ascii="Arial" w:eastAsia="Calibri" w:hAnsi="Arial" w:cs="Arial"/>
                <w:color w:val="000000"/>
                <w:sz w:val="20"/>
                <w:szCs w:val="20"/>
              </w:rPr>
              <w:t>Rho de Spearman</w:t>
            </w:r>
          </w:p>
        </w:tc>
        <w:tc>
          <w:tcPr>
            <w:tcW w:w="1977" w:type="dxa"/>
            <w:vMerge w:val="restart"/>
            <w:tcBorders>
              <w:top w:val="single" w:sz="4" w:space="0" w:color="auto"/>
            </w:tcBorders>
            <w:shd w:val="clear" w:color="auto" w:fill="auto"/>
          </w:tcPr>
          <w:p w:rsidR="001921B5" w:rsidRPr="00ED5D53" w:rsidRDefault="001921B5" w:rsidP="001921B5">
            <w:pPr>
              <w:autoSpaceDE w:val="0"/>
              <w:autoSpaceDN w:val="0"/>
              <w:adjustRightInd w:val="0"/>
              <w:spacing w:line="240" w:lineRule="auto"/>
              <w:ind w:right="60" w:firstLine="0"/>
              <w:rPr>
                <w:rFonts w:ascii="Arial" w:eastAsia="Calibri" w:hAnsi="Arial" w:cs="Arial"/>
                <w:color w:val="000000"/>
                <w:sz w:val="20"/>
                <w:szCs w:val="20"/>
              </w:rPr>
            </w:pPr>
            <w:r w:rsidRPr="00ED5D53">
              <w:rPr>
                <w:rFonts w:ascii="Arial" w:eastAsia="Calibri" w:hAnsi="Arial" w:cs="Arial"/>
                <w:color w:val="000000"/>
                <w:sz w:val="20"/>
                <w:szCs w:val="20"/>
              </w:rPr>
              <w:t>VIOLENCIA PSICOLÓGICA</w:t>
            </w:r>
          </w:p>
        </w:tc>
        <w:tc>
          <w:tcPr>
            <w:tcW w:w="1727" w:type="dxa"/>
            <w:tcBorders>
              <w:top w:val="single" w:sz="4" w:space="0" w:color="auto"/>
            </w:tcBorders>
            <w:shd w:val="clear" w:color="auto" w:fill="auto"/>
          </w:tcPr>
          <w:p w:rsidR="001921B5" w:rsidRPr="00ED5D53" w:rsidRDefault="001921B5" w:rsidP="001921B5">
            <w:pPr>
              <w:autoSpaceDE w:val="0"/>
              <w:autoSpaceDN w:val="0"/>
              <w:adjustRightInd w:val="0"/>
              <w:spacing w:line="240" w:lineRule="auto"/>
              <w:ind w:right="60" w:firstLine="0"/>
              <w:rPr>
                <w:rFonts w:ascii="Arial" w:eastAsia="Calibri" w:hAnsi="Arial" w:cs="Arial"/>
                <w:color w:val="000000"/>
                <w:sz w:val="20"/>
                <w:szCs w:val="20"/>
              </w:rPr>
            </w:pPr>
            <w:r w:rsidRPr="00ED5D53">
              <w:rPr>
                <w:rFonts w:ascii="Arial" w:eastAsia="Calibri" w:hAnsi="Arial" w:cs="Arial"/>
                <w:color w:val="000000"/>
                <w:sz w:val="20"/>
                <w:szCs w:val="20"/>
              </w:rPr>
              <w:t>Coeficiente de correlación</w:t>
            </w:r>
          </w:p>
        </w:tc>
        <w:tc>
          <w:tcPr>
            <w:tcW w:w="1865" w:type="dxa"/>
            <w:tcBorders>
              <w:top w:val="single" w:sz="4" w:space="0" w:color="auto"/>
            </w:tcBorders>
            <w:shd w:val="clear" w:color="auto" w:fill="auto"/>
          </w:tcPr>
          <w:p w:rsidR="001921B5" w:rsidRPr="00ED5D53" w:rsidRDefault="001921B5" w:rsidP="001921B5">
            <w:pPr>
              <w:autoSpaceDE w:val="0"/>
              <w:autoSpaceDN w:val="0"/>
              <w:adjustRightInd w:val="0"/>
              <w:spacing w:line="240" w:lineRule="auto"/>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1,000</w:t>
            </w:r>
          </w:p>
        </w:tc>
        <w:tc>
          <w:tcPr>
            <w:tcW w:w="1866" w:type="dxa"/>
            <w:tcBorders>
              <w:top w:val="single" w:sz="4" w:space="0" w:color="auto"/>
            </w:tcBorders>
            <w:shd w:val="clear" w:color="auto" w:fill="auto"/>
          </w:tcPr>
          <w:p w:rsidR="001921B5" w:rsidRPr="00ED5D53" w:rsidRDefault="001921B5" w:rsidP="001921B5">
            <w:pPr>
              <w:autoSpaceDE w:val="0"/>
              <w:autoSpaceDN w:val="0"/>
              <w:adjustRightInd w:val="0"/>
              <w:spacing w:line="240" w:lineRule="auto"/>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,783</w:t>
            </w:r>
            <w:r w:rsidRPr="00ED5D53">
              <w:rPr>
                <w:rFonts w:ascii="Arial" w:eastAsia="Calibri" w:hAnsi="Arial" w:cs="Arial"/>
                <w:color w:val="000000"/>
                <w:sz w:val="20"/>
                <w:szCs w:val="20"/>
                <w:vertAlign w:val="superscript"/>
              </w:rPr>
              <w:t>**</w:t>
            </w:r>
          </w:p>
        </w:tc>
      </w:tr>
      <w:tr w:rsidR="001921B5" w:rsidRPr="00ED5D53" w:rsidTr="004F3748">
        <w:trPr>
          <w:cantSplit/>
          <w:trHeight w:val="384"/>
        </w:trPr>
        <w:tc>
          <w:tcPr>
            <w:tcW w:w="1319" w:type="dxa"/>
            <w:vMerge/>
            <w:shd w:val="clear" w:color="auto" w:fill="auto"/>
          </w:tcPr>
          <w:p w:rsidR="001921B5" w:rsidRPr="00ED5D53" w:rsidRDefault="001921B5" w:rsidP="001921B5">
            <w:pPr>
              <w:autoSpaceDE w:val="0"/>
              <w:autoSpaceDN w:val="0"/>
              <w:adjustRightInd w:val="0"/>
              <w:spacing w:line="240" w:lineRule="auto"/>
              <w:ind w:firstLine="0"/>
              <w:rPr>
                <w:rFonts w:ascii="Arial" w:eastAsia="Calibri" w:hAnsi="Arial" w:cs="Arial"/>
                <w:color w:val="000000"/>
                <w:sz w:val="20"/>
                <w:szCs w:val="20"/>
              </w:rPr>
            </w:pPr>
          </w:p>
        </w:tc>
        <w:tc>
          <w:tcPr>
            <w:tcW w:w="1977" w:type="dxa"/>
            <w:vMerge/>
            <w:shd w:val="clear" w:color="auto" w:fill="auto"/>
          </w:tcPr>
          <w:p w:rsidR="001921B5" w:rsidRPr="00ED5D53" w:rsidRDefault="001921B5" w:rsidP="001921B5">
            <w:pPr>
              <w:autoSpaceDE w:val="0"/>
              <w:autoSpaceDN w:val="0"/>
              <w:adjustRightInd w:val="0"/>
              <w:spacing w:line="240" w:lineRule="auto"/>
              <w:ind w:firstLine="0"/>
              <w:rPr>
                <w:rFonts w:ascii="Arial" w:eastAsia="Calibri" w:hAnsi="Arial" w:cs="Arial"/>
                <w:color w:val="000000"/>
                <w:sz w:val="20"/>
                <w:szCs w:val="20"/>
              </w:rPr>
            </w:pPr>
          </w:p>
        </w:tc>
        <w:tc>
          <w:tcPr>
            <w:tcW w:w="1727" w:type="dxa"/>
            <w:shd w:val="clear" w:color="auto" w:fill="auto"/>
          </w:tcPr>
          <w:p w:rsidR="001921B5" w:rsidRPr="00ED5D53" w:rsidRDefault="001921B5" w:rsidP="001921B5">
            <w:pPr>
              <w:autoSpaceDE w:val="0"/>
              <w:autoSpaceDN w:val="0"/>
              <w:adjustRightInd w:val="0"/>
              <w:spacing w:line="240" w:lineRule="auto"/>
              <w:ind w:right="60" w:firstLine="0"/>
              <w:rPr>
                <w:rFonts w:ascii="Arial" w:eastAsia="Calibri" w:hAnsi="Arial" w:cs="Arial"/>
                <w:color w:val="000000"/>
                <w:sz w:val="20"/>
                <w:szCs w:val="20"/>
              </w:rPr>
            </w:pPr>
            <w:r w:rsidRPr="00ED5D53">
              <w:rPr>
                <w:rFonts w:ascii="Arial" w:eastAsia="Calibri" w:hAnsi="Arial" w:cs="Arial"/>
                <w:color w:val="000000"/>
                <w:sz w:val="20"/>
                <w:szCs w:val="20"/>
              </w:rPr>
              <w:t>Sig. (bilateral)</w:t>
            </w:r>
          </w:p>
        </w:tc>
        <w:tc>
          <w:tcPr>
            <w:tcW w:w="1865" w:type="dxa"/>
            <w:shd w:val="clear" w:color="auto" w:fill="auto"/>
          </w:tcPr>
          <w:p w:rsidR="001921B5" w:rsidRPr="00ED5D53" w:rsidRDefault="001921B5" w:rsidP="001921B5">
            <w:pPr>
              <w:autoSpaceDE w:val="0"/>
              <w:autoSpaceDN w:val="0"/>
              <w:adjustRightInd w:val="0"/>
              <w:spacing w:line="240" w:lineRule="auto"/>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w:t>
            </w:r>
          </w:p>
        </w:tc>
        <w:tc>
          <w:tcPr>
            <w:tcW w:w="1866" w:type="dxa"/>
            <w:shd w:val="clear" w:color="auto" w:fill="auto"/>
          </w:tcPr>
          <w:p w:rsidR="001921B5" w:rsidRPr="00ED5D53" w:rsidRDefault="001921B5" w:rsidP="001921B5">
            <w:pPr>
              <w:autoSpaceDE w:val="0"/>
              <w:autoSpaceDN w:val="0"/>
              <w:adjustRightInd w:val="0"/>
              <w:spacing w:line="240" w:lineRule="auto"/>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,000</w:t>
            </w:r>
          </w:p>
        </w:tc>
      </w:tr>
      <w:tr w:rsidR="001921B5" w:rsidRPr="00ED5D53" w:rsidTr="004F3748">
        <w:trPr>
          <w:cantSplit/>
          <w:trHeight w:val="384"/>
        </w:trPr>
        <w:tc>
          <w:tcPr>
            <w:tcW w:w="1319" w:type="dxa"/>
            <w:vMerge/>
            <w:shd w:val="clear" w:color="auto" w:fill="auto"/>
          </w:tcPr>
          <w:p w:rsidR="001921B5" w:rsidRPr="00ED5D53" w:rsidRDefault="001921B5" w:rsidP="001921B5">
            <w:pPr>
              <w:autoSpaceDE w:val="0"/>
              <w:autoSpaceDN w:val="0"/>
              <w:adjustRightInd w:val="0"/>
              <w:spacing w:line="240" w:lineRule="auto"/>
              <w:ind w:firstLine="0"/>
              <w:rPr>
                <w:rFonts w:ascii="Arial" w:eastAsia="Calibri" w:hAnsi="Arial" w:cs="Arial"/>
                <w:color w:val="000000"/>
                <w:sz w:val="20"/>
                <w:szCs w:val="20"/>
              </w:rPr>
            </w:pPr>
          </w:p>
        </w:tc>
        <w:tc>
          <w:tcPr>
            <w:tcW w:w="1977" w:type="dxa"/>
            <w:vMerge/>
            <w:shd w:val="clear" w:color="auto" w:fill="auto"/>
          </w:tcPr>
          <w:p w:rsidR="001921B5" w:rsidRPr="00ED5D53" w:rsidRDefault="001921B5" w:rsidP="001921B5">
            <w:pPr>
              <w:autoSpaceDE w:val="0"/>
              <w:autoSpaceDN w:val="0"/>
              <w:adjustRightInd w:val="0"/>
              <w:spacing w:line="240" w:lineRule="auto"/>
              <w:ind w:firstLine="0"/>
              <w:rPr>
                <w:rFonts w:ascii="Arial" w:eastAsia="Calibri" w:hAnsi="Arial" w:cs="Arial"/>
                <w:color w:val="000000"/>
                <w:sz w:val="20"/>
                <w:szCs w:val="20"/>
              </w:rPr>
            </w:pPr>
          </w:p>
        </w:tc>
        <w:tc>
          <w:tcPr>
            <w:tcW w:w="1727" w:type="dxa"/>
            <w:shd w:val="clear" w:color="auto" w:fill="auto"/>
          </w:tcPr>
          <w:p w:rsidR="001921B5" w:rsidRPr="00ED5D53" w:rsidRDefault="001921B5" w:rsidP="001921B5">
            <w:pPr>
              <w:autoSpaceDE w:val="0"/>
              <w:autoSpaceDN w:val="0"/>
              <w:adjustRightInd w:val="0"/>
              <w:spacing w:line="240" w:lineRule="auto"/>
              <w:ind w:right="60" w:firstLine="0"/>
              <w:rPr>
                <w:rFonts w:ascii="Arial" w:eastAsia="Calibri" w:hAnsi="Arial" w:cs="Arial"/>
                <w:color w:val="000000"/>
                <w:sz w:val="20"/>
                <w:szCs w:val="20"/>
              </w:rPr>
            </w:pPr>
            <w:r w:rsidRPr="00ED5D53">
              <w:rPr>
                <w:rFonts w:ascii="Arial" w:eastAsia="Calibri" w:hAnsi="Arial" w:cs="Arial"/>
                <w:color w:val="000000"/>
                <w:sz w:val="20"/>
                <w:szCs w:val="20"/>
              </w:rPr>
              <w:t>N</w:t>
            </w:r>
          </w:p>
        </w:tc>
        <w:tc>
          <w:tcPr>
            <w:tcW w:w="1865" w:type="dxa"/>
            <w:shd w:val="clear" w:color="auto" w:fill="auto"/>
          </w:tcPr>
          <w:p w:rsidR="001921B5" w:rsidRPr="00ED5D53" w:rsidRDefault="001921B5" w:rsidP="001921B5">
            <w:pPr>
              <w:autoSpaceDE w:val="0"/>
              <w:autoSpaceDN w:val="0"/>
              <w:adjustRightInd w:val="0"/>
              <w:spacing w:line="240" w:lineRule="auto"/>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163</w:t>
            </w:r>
          </w:p>
        </w:tc>
        <w:tc>
          <w:tcPr>
            <w:tcW w:w="1866" w:type="dxa"/>
            <w:shd w:val="clear" w:color="auto" w:fill="auto"/>
          </w:tcPr>
          <w:p w:rsidR="001921B5" w:rsidRPr="00ED5D53" w:rsidRDefault="001921B5" w:rsidP="001921B5">
            <w:pPr>
              <w:autoSpaceDE w:val="0"/>
              <w:autoSpaceDN w:val="0"/>
              <w:adjustRightInd w:val="0"/>
              <w:spacing w:line="240" w:lineRule="auto"/>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163</w:t>
            </w:r>
          </w:p>
        </w:tc>
      </w:tr>
      <w:tr w:rsidR="001921B5" w:rsidRPr="00ED5D53" w:rsidTr="004F3748">
        <w:trPr>
          <w:cantSplit/>
          <w:trHeight w:val="736"/>
        </w:trPr>
        <w:tc>
          <w:tcPr>
            <w:tcW w:w="1319" w:type="dxa"/>
            <w:vMerge/>
            <w:shd w:val="clear" w:color="auto" w:fill="auto"/>
          </w:tcPr>
          <w:p w:rsidR="001921B5" w:rsidRPr="00ED5D53" w:rsidRDefault="001921B5" w:rsidP="001921B5">
            <w:pPr>
              <w:autoSpaceDE w:val="0"/>
              <w:autoSpaceDN w:val="0"/>
              <w:adjustRightInd w:val="0"/>
              <w:spacing w:line="240" w:lineRule="auto"/>
              <w:ind w:firstLine="0"/>
              <w:rPr>
                <w:rFonts w:ascii="Arial" w:eastAsia="Calibri" w:hAnsi="Arial" w:cs="Arial"/>
                <w:color w:val="000000"/>
                <w:sz w:val="20"/>
                <w:szCs w:val="20"/>
              </w:rPr>
            </w:pPr>
          </w:p>
        </w:tc>
        <w:tc>
          <w:tcPr>
            <w:tcW w:w="1977" w:type="dxa"/>
            <w:vMerge w:val="restart"/>
            <w:shd w:val="clear" w:color="auto" w:fill="auto"/>
          </w:tcPr>
          <w:p w:rsidR="001921B5" w:rsidRPr="00ED5D53" w:rsidRDefault="001921B5" w:rsidP="001921B5">
            <w:pPr>
              <w:autoSpaceDE w:val="0"/>
              <w:autoSpaceDN w:val="0"/>
              <w:adjustRightInd w:val="0"/>
              <w:spacing w:line="240" w:lineRule="auto"/>
              <w:ind w:right="60" w:firstLine="0"/>
              <w:rPr>
                <w:rFonts w:ascii="Arial" w:eastAsia="Calibri" w:hAnsi="Arial" w:cs="Arial"/>
                <w:color w:val="000000"/>
                <w:sz w:val="20"/>
                <w:szCs w:val="20"/>
              </w:rPr>
            </w:pPr>
            <w:r w:rsidRPr="00ED5D53">
              <w:rPr>
                <w:rFonts w:ascii="Arial" w:eastAsia="Calibri" w:hAnsi="Arial" w:cs="Arial"/>
                <w:color w:val="000000"/>
                <w:sz w:val="20"/>
                <w:szCs w:val="20"/>
              </w:rPr>
              <w:t>DELITO DE FEMINICIDIO</w:t>
            </w:r>
          </w:p>
        </w:tc>
        <w:tc>
          <w:tcPr>
            <w:tcW w:w="1727" w:type="dxa"/>
            <w:shd w:val="clear" w:color="auto" w:fill="auto"/>
          </w:tcPr>
          <w:p w:rsidR="001921B5" w:rsidRPr="00ED5D53" w:rsidRDefault="001921B5" w:rsidP="001921B5">
            <w:pPr>
              <w:autoSpaceDE w:val="0"/>
              <w:autoSpaceDN w:val="0"/>
              <w:adjustRightInd w:val="0"/>
              <w:spacing w:line="240" w:lineRule="auto"/>
              <w:ind w:right="60" w:firstLine="0"/>
              <w:rPr>
                <w:rFonts w:ascii="Arial" w:eastAsia="Calibri" w:hAnsi="Arial" w:cs="Arial"/>
                <w:color w:val="000000"/>
                <w:sz w:val="20"/>
                <w:szCs w:val="20"/>
              </w:rPr>
            </w:pPr>
            <w:r w:rsidRPr="00ED5D53">
              <w:rPr>
                <w:rFonts w:ascii="Arial" w:eastAsia="Calibri" w:hAnsi="Arial" w:cs="Arial"/>
                <w:color w:val="000000"/>
                <w:sz w:val="20"/>
                <w:szCs w:val="20"/>
              </w:rPr>
              <w:t>Coeficiente de correlación</w:t>
            </w:r>
          </w:p>
        </w:tc>
        <w:tc>
          <w:tcPr>
            <w:tcW w:w="1865" w:type="dxa"/>
            <w:shd w:val="clear" w:color="auto" w:fill="auto"/>
          </w:tcPr>
          <w:p w:rsidR="001921B5" w:rsidRPr="00ED5D53" w:rsidRDefault="001921B5" w:rsidP="001921B5">
            <w:pPr>
              <w:autoSpaceDE w:val="0"/>
              <w:autoSpaceDN w:val="0"/>
              <w:adjustRightInd w:val="0"/>
              <w:spacing w:line="240" w:lineRule="auto"/>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,783</w:t>
            </w:r>
            <w:r w:rsidRPr="00ED5D53">
              <w:rPr>
                <w:rFonts w:ascii="Arial" w:eastAsia="Calibri" w:hAnsi="Arial" w:cs="Arial"/>
                <w:color w:val="000000"/>
                <w:sz w:val="20"/>
                <w:szCs w:val="20"/>
                <w:vertAlign w:val="superscript"/>
              </w:rPr>
              <w:t>**</w:t>
            </w:r>
          </w:p>
        </w:tc>
        <w:tc>
          <w:tcPr>
            <w:tcW w:w="1866" w:type="dxa"/>
            <w:shd w:val="clear" w:color="auto" w:fill="auto"/>
          </w:tcPr>
          <w:p w:rsidR="001921B5" w:rsidRPr="00ED5D53" w:rsidRDefault="001921B5" w:rsidP="001921B5">
            <w:pPr>
              <w:autoSpaceDE w:val="0"/>
              <w:autoSpaceDN w:val="0"/>
              <w:adjustRightInd w:val="0"/>
              <w:spacing w:line="240" w:lineRule="auto"/>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1,000</w:t>
            </w:r>
          </w:p>
        </w:tc>
      </w:tr>
      <w:tr w:rsidR="001921B5" w:rsidRPr="00ED5D53" w:rsidTr="004F3748">
        <w:trPr>
          <w:cantSplit/>
          <w:trHeight w:val="367"/>
        </w:trPr>
        <w:tc>
          <w:tcPr>
            <w:tcW w:w="1319" w:type="dxa"/>
            <w:vMerge/>
            <w:shd w:val="clear" w:color="auto" w:fill="auto"/>
          </w:tcPr>
          <w:p w:rsidR="001921B5" w:rsidRPr="00ED5D53" w:rsidRDefault="001921B5" w:rsidP="001921B5">
            <w:pPr>
              <w:autoSpaceDE w:val="0"/>
              <w:autoSpaceDN w:val="0"/>
              <w:adjustRightInd w:val="0"/>
              <w:spacing w:line="240" w:lineRule="auto"/>
              <w:ind w:firstLine="0"/>
              <w:rPr>
                <w:rFonts w:ascii="Arial" w:eastAsia="Calibri" w:hAnsi="Arial" w:cs="Arial"/>
                <w:color w:val="000000"/>
                <w:sz w:val="20"/>
                <w:szCs w:val="20"/>
              </w:rPr>
            </w:pPr>
          </w:p>
        </w:tc>
        <w:tc>
          <w:tcPr>
            <w:tcW w:w="1977" w:type="dxa"/>
            <w:vMerge/>
            <w:shd w:val="clear" w:color="auto" w:fill="auto"/>
          </w:tcPr>
          <w:p w:rsidR="001921B5" w:rsidRPr="00ED5D53" w:rsidRDefault="001921B5" w:rsidP="001921B5">
            <w:pPr>
              <w:autoSpaceDE w:val="0"/>
              <w:autoSpaceDN w:val="0"/>
              <w:adjustRightInd w:val="0"/>
              <w:spacing w:line="240" w:lineRule="auto"/>
              <w:ind w:firstLine="0"/>
              <w:rPr>
                <w:rFonts w:ascii="Arial" w:eastAsia="Calibri" w:hAnsi="Arial" w:cs="Arial"/>
                <w:color w:val="000000"/>
                <w:sz w:val="20"/>
                <w:szCs w:val="20"/>
              </w:rPr>
            </w:pPr>
          </w:p>
        </w:tc>
        <w:tc>
          <w:tcPr>
            <w:tcW w:w="1727" w:type="dxa"/>
            <w:shd w:val="clear" w:color="auto" w:fill="auto"/>
          </w:tcPr>
          <w:p w:rsidR="001921B5" w:rsidRPr="00ED5D53" w:rsidRDefault="001921B5" w:rsidP="001921B5">
            <w:pPr>
              <w:autoSpaceDE w:val="0"/>
              <w:autoSpaceDN w:val="0"/>
              <w:adjustRightInd w:val="0"/>
              <w:spacing w:line="240" w:lineRule="auto"/>
              <w:ind w:right="60" w:firstLine="0"/>
              <w:rPr>
                <w:rFonts w:ascii="Arial" w:eastAsia="Calibri" w:hAnsi="Arial" w:cs="Arial"/>
                <w:color w:val="000000"/>
                <w:sz w:val="20"/>
                <w:szCs w:val="20"/>
              </w:rPr>
            </w:pPr>
            <w:r w:rsidRPr="00ED5D53">
              <w:rPr>
                <w:rFonts w:ascii="Arial" w:eastAsia="Calibri" w:hAnsi="Arial" w:cs="Arial"/>
                <w:color w:val="000000"/>
                <w:sz w:val="20"/>
                <w:szCs w:val="20"/>
              </w:rPr>
              <w:t>Sig. (bilateral)</w:t>
            </w:r>
          </w:p>
        </w:tc>
        <w:tc>
          <w:tcPr>
            <w:tcW w:w="1865" w:type="dxa"/>
            <w:shd w:val="clear" w:color="auto" w:fill="auto"/>
          </w:tcPr>
          <w:p w:rsidR="001921B5" w:rsidRPr="00ED5D53" w:rsidRDefault="001921B5" w:rsidP="001921B5">
            <w:pPr>
              <w:autoSpaceDE w:val="0"/>
              <w:autoSpaceDN w:val="0"/>
              <w:adjustRightInd w:val="0"/>
              <w:spacing w:line="240" w:lineRule="auto"/>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,000</w:t>
            </w:r>
          </w:p>
        </w:tc>
        <w:tc>
          <w:tcPr>
            <w:tcW w:w="1866" w:type="dxa"/>
            <w:shd w:val="clear" w:color="auto" w:fill="auto"/>
          </w:tcPr>
          <w:p w:rsidR="001921B5" w:rsidRPr="00ED5D53" w:rsidRDefault="001921B5" w:rsidP="001921B5">
            <w:pPr>
              <w:autoSpaceDE w:val="0"/>
              <w:autoSpaceDN w:val="0"/>
              <w:adjustRightInd w:val="0"/>
              <w:spacing w:line="240" w:lineRule="auto"/>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w:t>
            </w:r>
          </w:p>
        </w:tc>
      </w:tr>
      <w:tr w:rsidR="001921B5" w:rsidRPr="00ED5D53" w:rsidTr="004F3748">
        <w:trPr>
          <w:cantSplit/>
          <w:trHeight w:val="384"/>
        </w:trPr>
        <w:tc>
          <w:tcPr>
            <w:tcW w:w="1319" w:type="dxa"/>
            <w:vMerge/>
            <w:shd w:val="clear" w:color="auto" w:fill="auto"/>
          </w:tcPr>
          <w:p w:rsidR="001921B5" w:rsidRPr="00ED5D53" w:rsidRDefault="001921B5" w:rsidP="001921B5">
            <w:pPr>
              <w:autoSpaceDE w:val="0"/>
              <w:autoSpaceDN w:val="0"/>
              <w:adjustRightInd w:val="0"/>
              <w:spacing w:line="240" w:lineRule="auto"/>
              <w:ind w:firstLine="0"/>
              <w:rPr>
                <w:rFonts w:ascii="Arial" w:eastAsia="Calibri" w:hAnsi="Arial" w:cs="Arial"/>
                <w:color w:val="000000"/>
                <w:sz w:val="20"/>
                <w:szCs w:val="20"/>
              </w:rPr>
            </w:pPr>
          </w:p>
        </w:tc>
        <w:tc>
          <w:tcPr>
            <w:tcW w:w="1977" w:type="dxa"/>
            <w:vMerge/>
            <w:shd w:val="clear" w:color="auto" w:fill="auto"/>
          </w:tcPr>
          <w:p w:rsidR="001921B5" w:rsidRPr="00ED5D53" w:rsidRDefault="001921B5" w:rsidP="001921B5">
            <w:pPr>
              <w:autoSpaceDE w:val="0"/>
              <w:autoSpaceDN w:val="0"/>
              <w:adjustRightInd w:val="0"/>
              <w:spacing w:line="240" w:lineRule="auto"/>
              <w:ind w:firstLine="0"/>
              <w:rPr>
                <w:rFonts w:ascii="Arial" w:eastAsia="Calibri" w:hAnsi="Arial" w:cs="Arial"/>
                <w:color w:val="000000"/>
                <w:sz w:val="20"/>
                <w:szCs w:val="20"/>
              </w:rPr>
            </w:pPr>
          </w:p>
        </w:tc>
        <w:tc>
          <w:tcPr>
            <w:tcW w:w="1727" w:type="dxa"/>
            <w:shd w:val="clear" w:color="auto" w:fill="auto"/>
          </w:tcPr>
          <w:p w:rsidR="001921B5" w:rsidRPr="00ED5D53" w:rsidRDefault="001921B5" w:rsidP="001921B5">
            <w:pPr>
              <w:autoSpaceDE w:val="0"/>
              <w:autoSpaceDN w:val="0"/>
              <w:adjustRightInd w:val="0"/>
              <w:spacing w:line="240" w:lineRule="auto"/>
              <w:ind w:right="60" w:firstLine="0"/>
              <w:rPr>
                <w:rFonts w:ascii="Arial" w:eastAsia="Calibri" w:hAnsi="Arial" w:cs="Arial"/>
                <w:color w:val="000000"/>
                <w:sz w:val="20"/>
                <w:szCs w:val="20"/>
              </w:rPr>
            </w:pPr>
            <w:r w:rsidRPr="00ED5D53">
              <w:rPr>
                <w:rFonts w:ascii="Arial" w:eastAsia="Calibri" w:hAnsi="Arial" w:cs="Arial"/>
                <w:color w:val="000000"/>
                <w:sz w:val="20"/>
                <w:szCs w:val="20"/>
              </w:rPr>
              <w:t>N</w:t>
            </w:r>
          </w:p>
        </w:tc>
        <w:tc>
          <w:tcPr>
            <w:tcW w:w="1865" w:type="dxa"/>
            <w:shd w:val="clear" w:color="auto" w:fill="auto"/>
          </w:tcPr>
          <w:p w:rsidR="001921B5" w:rsidRPr="00ED5D53" w:rsidRDefault="001921B5" w:rsidP="001921B5">
            <w:pPr>
              <w:autoSpaceDE w:val="0"/>
              <w:autoSpaceDN w:val="0"/>
              <w:adjustRightInd w:val="0"/>
              <w:spacing w:line="240" w:lineRule="auto"/>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163</w:t>
            </w:r>
          </w:p>
        </w:tc>
        <w:tc>
          <w:tcPr>
            <w:tcW w:w="1866" w:type="dxa"/>
            <w:shd w:val="clear" w:color="auto" w:fill="auto"/>
          </w:tcPr>
          <w:p w:rsidR="001921B5" w:rsidRPr="00ED5D53" w:rsidRDefault="001921B5" w:rsidP="001921B5">
            <w:pPr>
              <w:autoSpaceDE w:val="0"/>
              <w:autoSpaceDN w:val="0"/>
              <w:adjustRightInd w:val="0"/>
              <w:spacing w:line="240" w:lineRule="auto"/>
              <w:ind w:right="60" w:firstLine="0"/>
              <w:jc w:val="center"/>
              <w:rPr>
                <w:rFonts w:ascii="Arial" w:eastAsia="Calibri" w:hAnsi="Arial" w:cs="Arial"/>
                <w:color w:val="000000"/>
                <w:sz w:val="20"/>
                <w:szCs w:val="20"/>
              </w:rPr>
            </w:pPr>
            <w:r w:rsidRPr="00ED5D53">
              <w:rPr>
                <w:rFonts w:ascii="Arial" w:eastAsia="Calibri" w:hAnsi="Arial" w:cs="Arial"/>
                <w:color w:val="000000"/>
                <w:sz w:val="20"/>
                <w:szCs w:val="20"/>
              </w:rPr>
              <w:t>163</w:t>
            </w:r>
          </w:p>
        </w:tc>
      </w:tr>
    </w:tbl>
    <w:p w:rsidR="001921B5" w:rsidRPr="00ED5D53" w:rsidRDefault="001921B5" w:rsidP="001921B5">
      <w:pPr>
        <w:autoSpaceDE w:val="0"/>
        <w:autoSpaceDN w:val="0"/>
        <w:adjustRightInd w:val="0"/>
        <w:spacing w:line="240" w:lineRule="auto"/>
        <w:rPr>
          <w:rFonts w:ascii="Arial" w:eastAsia="Calibri" w:hAnsi="Arial" w:cs="Arial"/>
          <w:color w:val="000000"/>
          <w:sz w:val="20"/>
          <w:szCs w:val="20"/>
          <w:lang w:val="es-MX" w:eastAsia="es-PE"/>
        </w:rPr>
      </w:pPr>
      <w:r w:rsidRPr="00ED5D53">
        <w:rPr>
          <w:rFonts w:ascii="Arial" w:eastAsia="Calibri" w:hAnsi="Arial" w:cs="Arial"/>
          <w:color w:val="000000"/>
          <w:sz w:val="20"/>
          <w:szCs w:val="20"/>
        </w:rPr>
        <w:lastRenderedPageBreak/>
        <w:t xml:space="preserve">Esta tabla nos muestra los resultados de correlación de la dimensión violencia física con el Delito de feminicidio. Se demuestra que la Violencia física si se relaciona con el Delito de feminicidio con una alta correlación o asociatividad de 78.30% </w:t>
      </w:r>
      <w:r w:rsidRPr="00ED5D53">
        <w:rPr>
          <w:rFonts w:ascii="Arial" w:eastAsia="Calibri" w:hAnsi="Arial" w:cs="Arial"/>
          <w:color w:val="000000"/>
          <w:sz w:val="20"/>
          <w:szCs w:val="20"/>
          <w:lang w:val="es-MX" w:eastAsia="es-PE"/>
        </w:rPr>
        <w:t>Resultados de la variable Violencia Familiar.</w:t>
      </w:r>
    </w:p>
    <w:p w:rsidR="001921B5" w:rsidRPr="00ED5D53" w:rsidRDefault="001921B5" w:rsidP="001921B5">
      <w:pPr>
        <w:autoSpaceDE w:val="0"/>
        <w:autoSpaceDN w:val="0"/>
        <w:adjustRightInd w:val="0"/>
        <w:spacing w:line="240" w:lineRule="auto"/>
        <w:rPr>
          <w:rFonts w:ascii="Arial" w:eastAsia="Calibri" w:hAnsi="Arial" w:cs="Arial"/>
          <w:color w:val="000000"/>
          <w:sz w:val="20"/>
          <w:szCs w:val="20"/>
          <w:lang w:val="es-MX" w:eastAsia="es-PE"/>
        </w:rPr>
      </w:pPr>
    </w:p>
    <w:p w:rsidR="001921B5" w:rsidRPr="00ED5D53" w:rsidRDefault="001921B5" w:rsidP="001921B5">
      <w:pPr>
        <w:autoSpaceDE w:val="0"/>
        <w:autoSpaceDN w:val="0"/>
        <w:adjustRightInd w:val="0"/>
        <w:spacing w:line="240" w:lineRule="auto"/>
        <w:rPr>
          <w:rFonts w:ascii="Arial" w:eastAsia="Calibri" w:hAnsi="Arial" w:cs="Arial"/>
          <w:color w:val="000000"/>
          <w:sz w:val="20"/>
          <w:szCs w:val="20"/>
          <w:lang w:val="es-MX" w:eastAsia="es-PE"/>
        </w:rPr>
      </w:pPr>
      <w:r w:rsidRPr="00ED5D53">
        <w:rPr>
          <w:rFonts w:ascii="Arial" w:eastAsia="Calibri" w:hAnsi="Arial" w:cs="Arial"/>
          <w:color w:val="000000"/>
          <w:sz w:val="20"/>
          <w:szCs w:val="20"/>
          <w:lang w:val="es-MX" w:eastAsia="es-PE"/>
        </w:rPr>
        <w:t xml:space="preserve"> </w:t>
      </w:r>
    </w:p>
    <w:bookmarkEnd w:id="1"/>
    <w:p w:rsidR="007A5D6B" w:rsidRPr="00ED5D53" w:rsidRDefault="007A5D6B" w:rsidP="007A5D6B">
      <w:pPr>
        <w:pStyle w:val="Ttulo1"/>
        <w:ind w:firstLine="0"/>
        <w:jc w:val="left"/>
        <w:rPr>
          <w:rFonts w:ascii="Arial" w:eastAsiaTheme="minorEastAsia" w:hAnsi="Arial" w:cs="Arial"/>
          <w:color w:val="auto"/>
          <w:sz w:val="20"/>
          <w:szCs w:val="20"/>
          <w:lang w:val="es-MX" w:eastAsia="es-PE"/>
        </w:rPr>
      </w:pPr>
      <w:r w:rsidRPr="00ED5D53">
        <w:rPr>
          <w:rFonts w:ascii="Arial" w:eastAsiaTheme="minorEastAsia" w:hAnsi="Arial" w:cs="Arial"/>
          <w:color w:val="auto"/>
          <w:sz w:val="20"/>
          <w:szCs w:val="20"/>
          <w:lang w:val="es-MX" w:eastAsia="es-PE"/>
        </w:rPr>
        <w:t>Discusión de resultados</w:t>
      </w:r>
    </w:p>
    <w:p w:rsidR="007A5D6B" w:rsidRPr="00ED5D53" w:rsidRDefault="007A5D6B" w:rsidP="007A5D6B">
      <w:pPr>
        <w:rPr>
          <w:rFonts w:ascii="Arial" w:hAnsi="Arial" w:cs="Arial"/>
          <w:sz w:val="20"/>
          <w:szCs w:val="20"/>
          <w:lang w:val="es-MX" w:eastAsia="es-PE"/>
        </w:rPr>
      </w:pPr>
    </w:p>
    <w:p w:rsidR="007A5D6B" w:rsidRPr="00ED5D53" w:rsidRDefault="007A5D6B" w:rsidP="007A5D6B">
      <w:pPr>
        <w:rPr>
          <w:rFonts w:ascii="Arial" w:hAnsi="Arial" w:cs="Arial"/>
          <w:sz w:val="20"/>
          <w:szCs w:val="20"/>
          <w:lang w:eastAsia="es-PE"/>
        </w:rPr>
      </w:pPr>
      <w:r w:rsidRPr="00ED5D53">
        <w:rPr>
          <w:rFonts w:ascii="Arial" w:hAnsi="Arial" w:cs="Arial"/>
          <w:sz w:val="20"/>
          <w:szCs w:val="20"/>
          <w:lang w:eastAsia="es-PE"/>
        </w:rPr>
        <w:t>Habiéndose revisado los resultados y los análisis de esta investigación, se ha demostrado la significativa relación entre la Violencia familiar con el Delito de feminicidio, que muestra la asociatividad entre las variables investigadas. Estos resultados muestran una alta relación del 85.20% entre variables, lo cual demuestra que los especialistas consultados sobre el tema de esta tesis sustentan la alta relación entre estas variables y la influencia de la Violencia familiar en el Delito de feminicidio como origen del mismo.</w:t>
      </w:r>
    </w:p>
    <w:p w:rsidR="007A5D6B" w:rsidRPr="00ED5D53" w:rsidRDefault="007A5D6B" w:rsidP="007A5D6B">
      <w:pPr>
        <w:rPr>
          <w:rFonts w:ascii="Arial" w:hAnsi="Arial" w:cs="Arial"/>
          <w:sz w:val="20"/>
          <w:szCs w:val="20"/>
        </w:rPr>
      </w:pPr>
      <w:r w:rsidRPr="00ED5D53">
        <w:rPr>
          <w:rFonts w:ascii="Arial" w:hAnsi="Arial" w:cs="Arial"/>
          <w:sz w:val="20"/>
          <w:szCs w:val="20"/>
        </w:rPr>
        <w:t>La convención para Prevenir, Sancionar y Erradicar la Violencia contra la Mujer (Convención de Belém do Pará) al definir la violencia contra la mujer como “cualquier acción o conducta, basada en su género, que cause muerte, daño o sufrimiento físico, sexual o psicológico a la mujer, tanto en el ámbito público como en el privado”, corrobora la relación directa que existe entre la violencia y la configuración del delito de feminicidio.</w:t>
      </w:r>
    </w:p>
    <w:p w:rsidR="007A5D6B" w:rsidRPr="00ED5D53" w:rsidRDefault="007A5D6B" w:rsidP="007A5D6B">
      <w:pPr>
        <w:rPr>
          <w:rFonts w:ascii="Arial" w:eastAsiaTheme="minorEastAsia" w:hAnsi="Arial" w:cs="Arial"/>
          <w:sz w:val="20"/>
          <w:szCs w:val="20"/>
          <w:lang w:eastAsia="es-PE"/>
        </w:rPr>
      </w:pPr>
      <w:r w:rsidRPr="00ED5D53">
        <w:rPr>
          <w:rFonts w:ascii="Arial" w:hAnsi="Arial" w:cs="Arial"/>
          <w:sz w:val="20"/>
          <w:szCs w:val="20"/>
        </w:rPr>
        <w:t>Coincidimos con los que sostienen que la violencia contra las mujeres representa una violación a los derechos humanos y constituye uno de los principales obstáculos para lograr una sociedad igualitaria y plenamente democrática (Toledo Vásquez, 2009).</w:t>
      </w:r>
    </w:p>
    <w:p w:rsidR="007A5D6B" w:rsidRPr="00ED5D53" w:rsidRDefault="007A5D6B" w:rsidP="007A5D6B">
      <w:pPr>
        <w:rPr>
          <w:rFonts w:ascii="Arial" w:hAnsi="Arial" w:cs="Arial"/>
          <w:sz w:val="20"/>
          <w:szCs w:val="20"/>
        </w:rPr>
      </w:pPr>
      <w:r w:rsidRPr="00ED5D53">
        <w:rPr>
          <w:rFonts w:ascii="Arial" w:hAnsi="Arial" w:cs="Arial"/>
          <w:sz w:val="20"/>
          <w:szCs w:val="20"/>
        </w:rPr>
        <w:t xml:space="preserve">Según </w:t>
      </w:r>
      <w:proofErr w:type="spellStart"/>
      <w:r w:rsidRPr="00ED5D53">
        <w:rPr>
          <w:rFonts w:ascii="Arial" w:hAnsi="Arial" w:cs="Arial"/>
          <w:sz w:val="20"/>
          <w:szCs w:val="20"/>
        </w:rPr>
        <w:t>Huarona</w:t>
      </w:r>
      <w:proofErr w:type="spellEnd"/>
      <w:r w:rsidRPr="00ED5D53">
        <w:rPr>
          <w:rFonts w:ascii="Arial" w:hAnsi="Arial" w:cs="Arial"/>
          <w:sz w:val="20"/>
          <w:szCs w:val="20"/>
        </w:rPr>
        <w:t>, al  refiere  que la violencia de  género es la denominación de las manifestaciones agresivas, emociones, pensamientos, ideas, creencias, actitudes, decisiones, palabras, discurso, gestos, símbolos, estructuras sociales, normas,  leyes, y regímenes  políticos dañinos que de forma prácticamente ancestral han venido sufriendo las mujeres a causa de la construcción social  de género femenino y masculino, haciendo referencia a la división y asignación  de los roles que deben desarrollarse socialmente (</w:t>
      </w:r>
      <w:proofErr w:type="spellStart"/>
      <w:r w:rsidRPr="00ED5D53">
        <w:rPr>
          <w:rFonts w:ascii="Arial" w:hAnsi="Arial" w:cs="Arial"/>
          <w:sz w:val="20"/>
          <w:szCs w:val="20"/>
        </w:rPr>
        <w:t>Echeburua</w:t>
      </w:r>
      <w:proofErr w:type="spellEnd"/>
      <w:r w:rsidRPr="00ED5D53">
        <w:rPr>
          <w:rFonts w:ascii="Arial" w:hAnsi="Arial" w:cs="Arial"/>
          <w:sz w:val="20"/>
          <w:szCs w:val="20"/>
        </w:rPr>
        <w:t>, 2010).Considera que el delito de feminicidio es un crimen de características específicas. No tiene actores ni coyunturas determinadas estrictamente; es decir, que no existe un perfil único de víctima. Todas las mujeres, sin importar edad ni nivel socioeconómico, están expuestas a esta violencia; la cual se inscribe en un contexto cultural de discriminación y violencia contra la mujer. Prueba de ello, la presente investigación ratifica que el  feminicidio responde a una situación de violencia y discriminación, el concepto feminicidio se ha construido para nombrar correctamente la especificidad de un crimen. Es parte de un contexto de discriminación contra la mujer porque ocurre cuando el agresor intenta menoscabar los derechos y las libertades de la mujer, atacándola en el momento en que pierde la sensación de dominio sobre ella.</w:t>
      </w:r>
    </w:p>
    <w:p w:rsidR="007A5D6B" w:rsidRPr="00ED5D53" w:rsidRDefault="007A5D6B" w:rsidP="007A5D6B">
      <w:pPr>
        <w:rPr>
          <w:rFonts w:ascii="Arial" w:hAnsi="Arial" w:cs="Arial"/>
          <w:sz w:val="20"/>
          <w:szCs w:val="20"/>
        </w:rPr>
      </w:pPr>
      <w:r w:rsidRPr="00ED5D53">
        <w:rPr>
          <w:rFonts w:ascii="Arial" w:hAnsi="Arial" w:cs="Arial"/>
          <w:sz w:val="20"/>
          <w:szCs w:val="20"/>
        </w:rPr>
        <w:t xml:space="preserve">La investigación coincide  con Aguirre (2012) cuando señala que el feminicidio se define como la muerte violenta de mujeres por el hecho de serlo y se produce en condiciones especiales de discriminación. Puede darse en el ámbito privado como el asesinato de una mujer a manos de su pareja (feminicidio íntimo); o el ámbito público como es el caso de la </w:t>
      </w:r>
      <w:r w:rsidRPr="00ED5D53">
        <w:rPr>
          <w:rFonts w:ascii="Arial" w:hAnsi="Arial" w:cs="Arial"/>
          <w:sz w:val="20"/>
          <w:szCs w:val="20"/>
        </w:rPr>
        <w:lastRenderedPageBreak/>
        <w:t>trabajadora sexual por parte de su cliente (feminicidio no íntimo). En tal sentido, el feminicidio es una categoría que debe abordarse como la forma más extrema de la violencia directa hacia las mujeres.</w:t>
      </w:r>
    </w:p>
    <w:p w:rsidR="001921B5" w:rsidRPr="00ED5D53" w:rsidRDefault="001921B5" w:rsidP="001921B5">
      <w:pPr>
        <w:pStyle w:val="Prrafodelista"/>
        <w:tabs>
          <w:tab w:val="left" w:pos="1047"/>
        </w:tabs>
        <w:ind w:left="284" w:firstLine="0"/>
        <w:rPr>
          <w:rFonts w:ascii="Arial" w:eastAsia="Calibri" w:hAnsi="Arial" w:cs="Arial"/>
          <w:color w:val="000000"/>
          <w:sz w:val="20"/>
          <w:szCs w:val="20"/>
        </w:rPr>
      </w:pPr>
    </w:p>
    <w:p w:rsidR="003B2A35" w:rsidRPr="00ED5D53" w:rsidRDefault="003B2A35" w:rsidP="003B2A35">
      <w:pPr>
        <w:tabs>
          <w:tab w:val="left" w:pos="1047"/>
        </w:tabs>
        <w:rPr>
          <w:rFonts w:ascii="Arial" w:hAnsi="Arial" w:cs="Arial"/>
          <w:b/>
          <w:bCs/>
          <w:sz w:val="20"/>
          <w:szCs w:val="20"/>
          <w:lang w:val="es-ES"/>
        </w:rPr>
      </w:pPr>
    </w:p>
    <w:p w:rsidR="0017421D" w:rsidRPr="00ED5D53" w:rsidRDefault="0017421D" w:rsidP="002637F7">
      <w:pPr>
        <w:pStyle w:val="Prrafodelista"/>
        <w:numPr>
          <w:ilvl w:val="0"/>
          <w:numId w:val="1"/>
        </w:numPr>
        <w:tabs>
          <w:tab w:val="left" w:pos="1047"/>
        </w:tabs>
        <w:ind w:left="284" w:hanging="284"/>
        <w:rPr>
          <w:rFonts w:ascii="Arial" w:hAnsi="Arial" w:cs="Arial"/>
          <w:b/>
          <w:bCs/>
          <w:sz w:val="20"/>
          <w:szCs w:val="20"/>
        </w:rPr>
      </w:pPr>
      <w:r w:rsidRPr="00ED5D53">
        <w:rPr>
          <w:rFonts w:ascii="Arial" w:hAnsi="Arial" w:cs="Arial"/>
          <w:b/>
          <w:bCs/>
          <w:sz w:val="20"/>
          <w:szCs w:val="20"/>
        </w:rPr>
        <w:t>CONCLUSIONES</w:t>
      </w:r>
    </w:p>
    <w:p w:rsidR="001921B5" w:rsidRPr="00ED5D53" w:rsidRDefault="001921B5" w:rsidP="001921B5">
      <w:pPr>
        <w:pStyle w:val="Prrafodelista"/>
        <w:numPr>
          <w:ilvl w:val="0"/>
          <w:numId w:val="13"/>
        </w:numPr>
        <w:tabs>
          <w:tab w:val="left" w:pos="1047"/>
        </w:tabs>
        <w:ind w:left="567" w:hanging="283"/>
        <w:rPr>
          <w:rFonts w:ascii="Arial" w:hAnsi="Arial" w:cs="Arial"/>
          <w:sz w:val="20"/>
          <w:szCs w:val="20"/>
        </w:rPr>
      </w:pPr>
      <w:r w:rsidRPr="00ED5D53">
        <w:rPr>
          <w:rFonts w:ascii="Arial" w:hAnsi="Arial" w:cs="Arial"/>
          <w:sz w:val="20"/>
          <w:szCs w:val="20"/>
        </w:rPr>
        <w:t>Se ha demostrado la alta relación o significancia de un 85.20% entre las variables estudiadas, La violencia familiar y el delito de feminicidio, lo que demuestra que efectivamente existe directa incidencia de la variable Violencia Familiar con el delito de feminicidio. Se ha demostrado la alta relación o asociatividad de un 78.30% entre las variables estudiadas, La violencia psicológica y El delito de feminicidio, lo que demuestra que efectivamente existe significativa incidencia de la variable violencia psicológica con el delito de feminicidio.</w:t>
      </w:r>
    </w:p>
    <w:p w:rsidR="001921B5" w:rsidRPr="00ED5D53" w:rsidRDefault="001921B5" w:rsidP="001921B5">
      <w:pPr>
        <w:pStyle w:val="Prrafodelista"/>
        <w:numPr>
          <w:ilvl w:val="0"/>
          <w:numId w:val="13"/>
        </w:numPr>
        <w:tabs>
          <w:tab w:val="left" w:pos="1047"/>
        </w:tabs>
        <w:ind w:left="567" w:hanging="283"/>
        <w:rPr>
          <w:rFonts w:ascii="Arial" w:hAnsi="Arial" w:cs="Arial"/>
          <w:sz w:val="20"/>
          <w:szCs w:val="20"/>
        </w:rPr>
      </w:pPr>
      <w:r w:rsidRPr="00ED5D53">
        <w:rPr>
          <w:rFonts w:ascii="Arial" w:hAnsi="Arial" w:cs="Arial"/>
          <w:sz w:val="20"/>
          <w:szCs w:val="20"/>
        </w:rPr>
        <w:t>Se ha demostrado la alta relación o asociatividad de un 50.10% entre las variables estudiadas, La violencia física y el delito de feminicidio, lo que demuestra que efectivamente existe incidencia de la variable violencia física con el delito de feminicidio.</w:t>
      </w:r>
    </w:p>
    <w:p w:rsidR="001921B5" w:rsidRPr="00ED5D53" w:rsidRDefault="001921B5" w:rsidP="001921B5">
      <w:pPr>
        <w:pStyle w:val="Prrafodelista"/>
        <w:numPr>
          <w:ilvl w:val="0"/>
          <w:numId w:val="13"/>
        </w:numPr>
        <w:tabs>
          <w:tab w:val="left" w:pos="1047"/>
        </w:tabs>
        <w:ind w:left="567" w:hanging="283"/>
        <w:rPr>
          <w:rFonts w:ascii="Arial" w:hAnsi="Arial" w:cs="Arial"/>
          <w:sz w:val="20"/>
          <w:szCs w:val="20"/>
        </w:rPr>
      </w:pPr>
      <w:r w:rsidRPr="00ED5D53">
        <w:rPr>
          <w:rFonts w:ascii="Arial" w:hAnsi="Arial" w:cs="Arial"/>
          <w:sz w:val="20"/>
          <w:szCs w:val="20"/>
        </w:rPr>
        <w:t>La violencia Familiar es un problema social,  el cual está asociado a la salud pública, sea cual fuere la naturaleza social y/o cultural, es decir en nuestro medio existe cierta violencia en gran parte de los hogares,  sea ésta por tensiones conductuales, así como también producto del  machismo, los celos, el rencor, el odio, la discriminación  y los  problemas psicológicos y emocionales que padecen muchas personas, sumado a esto  el estado de embriaguez, lo cual torna un situación tirante que conlleva a la violencia familiar y valgan verdades muchos de éstos individuos  llegan a cometer  el delito de feminicidio.</w:t>
      </w:r>
    </w:p>
    <w:p w:rsidR="001921B5" w:rsidRPr="00ED5D53" w:rsidRDefault="00AC1422" w:rsidP="001921B5">
      <w:pPr>
        <w:pStyle w:val="Prrafodelista"/>
        <w:numPr>
          <w:ilvl w:val="0"/>
          <w:numId w:val="13"/>
        </w:numPr>
        <w:tabs>
          <w:tab w:val="left" w:pos="1047"/>
        </w:tabs>
        <w:ind w:left="567" w:hanging="283"/>
        <w:rPr>
          <w:rFonts w:ascii="Arial" w:hAnsi="Arial" w:cs="Arial"/>
          <w:sz w:val="20"/>
          <w:szCs w:val="20"/>
        </w:rPr>
      </w:pPr>
      <w:r w:rsidRPr="00ED5D53">
        <w:rPr>
          <w:rFonts w:ascii="Arial" w:hAnsi="Arial" w:cs="Arial"/>
          <w:sz w:val="20"/>
          <w:szCs w:val="20"/>
        </w:rPr>
        <w:t>Además,</w:t>
      </w:r>
      <w:r w:rsidR="001921B5" w:rsidRPr="00ED5D53">
        <w:rPr>
          <w:rFonts w:ascii="Arial" w:hAnsi="Arial" w:cs="Arial"/>
          <w:sz w:val="20"/>
          <w:szCs w:val="20"/>
        </w:rPr>
        <w:t xml:space="preserve"> cabe destacar que la violencia contra la mujer es un tema de preocupación mundial en la que se vulneran sus derechos fundamentales, atentando contra su integridad corporal y la vida de las víctimas.  </w:t>
      </w:r>
    </w:p>
    <w:p w:rsidR="001921B5" w:rsidRPr="00ED5D53" w:rsidRDefault="001921B5" w:rsidP="001921B5">
      <w:pPr>
        <w:pStyle w:val="Prrafodelista"/>
        <w:numPr>
          <w:ilvl w:val="0"/>
          <w:numId w:val="13"/>
        </w:numPr>
        <w:tabs>
          <w:tab w:val="left" w:pos="1047"/>
        </w:tabs>
        <w:ind w:left="567" w:hanging="283"/>
        <w:rPr>
          <w:rFonts w:ascii="Arial" w:hAnsi="Arial" w:cs="Arial"/>
          <w:sz w:val="20"/>
          <w:szCs w:val="20"/>
        </w:rPr>
      </w:pPr>
      <w:r w:rsidRPr="00ED5D53">
        <w:rPr>
          <w:rFonts w:ascii="Arial" w:hAnsi="Arial" w:cs="Arial"/>
          <w:sz w:val="20"/>
          <w:szCs w:val="20"/>
        </w:rPr>
        <w:t>La Violencia contra la mujer obedece también a estructuras patriarcales en la que el hombre ve a la mujer como objeto “</w:t>
      </w:r>
      <w:proofErr w:type="spellStart"/>
      <w:r w:rsidRPr="00ED5D53">
        <w:rPr>
          <w:rFonts w:ascii="Arial" w:hAnsi="Arial" w:cs="Arial"/>
          <w:sz w:val="20"/>
          <w:szCs w:val="20"/>
        </w:rPr>
        <w:t>maltratable</w:t>
      </w:r>
      <w:proofErr w:type="spellEnd"/>
      <w:r w:rsidRPr="00ED5D53">
        <w:rPr>
          <w:rFonts w:ascii="Arial" w:hAnsi="Arial" w:cs="Arial"/>
          <w:sz w:val="20"/>
          <w:szCs w:val="20"/>
        </w:rPr>
        <w:t xml:space="preserve">”. Desgraciadamente, esto ocurre en casi todas las sociedades del mundo, sin distinción de posición económica, raza o cultura, etc. </w:t>
      </w:r>
    </w:p>
    <w:p w:rsidR="001921B5" w:rsidRPr="00ED5D53" w:rsidRDefault="001921B5" w:rsidP="001921B5">
      <w:pPr>
        <w:pStyle w:val="Prrafodelista"/>
        <w:numPr>
          <w:ilvl w:val="0"/>
          <w:numId w:val="13"/>
        </w:numPr>
        <w:tabs>
          <w:tab w:val="left" w:pos="1047"/>
        </w:tabs>
        <w:ind w:left="567" w:hanging="283"/>
        <w:rPr>
          <w:rFonts w:ascii="Arial" w:hAnsi="Arial" w:cs="Arial"/>
          <w:sz w:val="20"/>
          <w:szCs w:val="20"/>
        </w:rPr>
      </w:pPr>
      <w:r w:rsidRPr="00ED5D53">
        <w:rPr>
          <w:rFonts w:ascii="Arial" w:hAnsi="Arial" w:cs="Arial"/>
          <w:sz w:val="20"/>
          <w:szCs w:val="20"/>
        </w:rPr>
        <w:t xml:space="preserve">También son víctimas de violencia familiar y la propia ley lo define textualmente, todo aquellos que se encuentran dentro del ámbito familiar como: los niños, adolescentes, padres, madres y parientes que viven en el hogar. </w:t>
      </w:r>
    </w:p>
    <w:p w:rsidR="001921B5" w:rsidRPr="00ED5D53" w:rsidRDefault="001921B5" w:rsidP="001921B5">
      <w:pPr>
        <w:pStyle w:val="Prrafodelista"/>
        <w:numPr>
          <w:ilvl w:val="0"/>
          <w:numId w:val="13"/>
        </w:numPr>
        <w:tabs>
          <w:tab w:val="left" w:pos="1047"/>
        </w:tabs>
        <w:ind w:left="567" w:hanging="283"/>
        <w:rPr>
          <w:rFonts w:ascii="Arial" w:hAnsi="Arial" w:cs="Arial"/>
          <w:sz w:val="20"/>
          <w:szCs w:val="20"/>
        </w:rPr>
      </w:pPr>
      <w:r w:rsidRPr="00ED5D53">
        <w:rPr>
          <w:rFonts w:ascii="Arial" w:hAnsi="Arial" w:cs="Arial"/>
          <w:sz w:val="20"/>
          <w:szCs w:val="20"/>
        </w:rPr>
        <w:t xml:space="preserve">Asimismo de la investigación que nos ocupa sobre la problemática de la violencia familiar, específicamente de la violencia contra las mujeres se concluye que existe incidencia directa con el delito de feminicidio, según datos estadísticos y las investigaciones realizadas. </w:t>
      </w:r>
    </w:p>
    <w:p w:rsidR="002637F7" w:rsidRPr="00ED5D53" w:rsidRDefault="001921B5" w:rsidP="001921B5">
      <w:pPr>
        <w:pStyle w:val="Prrafodelista"/>
        <w:numPr>
          <w:ilvl w:val="0"/>
          <w:numId w:val="13"/>
        </w:numPr>
        <w:tabs>
          <w:tab w:val="left" w:pos="1047"/>
        </w:tabs>
        <w:ind w:left="567" w:hanging="283"/>
        <w:rPr>
          <w:rFonts w:ascii="Arial" w:hAnsi="Arial" w:cs="Arial"/>
          <w:sz w:val="20"/>
          <w:szCs w:val="20"/>
        </w:rPr>
      </w:pPr>
      <w:r w:rsidRPr="00ED5D53">
        <w:rPr>
          <w:rFonts w:ascii="Arial" w:hAnsi="Arial" w:cs="Arial"/>
          <w:sz w:val="20"/>
          <w:szCs w:val="20"/>
        </w:rPr>
        <w:t xml:space="preserve">Y finalmente cabe señalar que las medidas de protección dictadas por los órganos jurisdiccionales no han sido al parecer eficaces, y que tampoco han cumplido con </w:t>
      </w:r>
      <w:r w:rsidR="00AC1422" w:rsidRPr="00ED5D53">
        <w:rPr>
          <w:rFonts w:ascii="Arial" w:hAnsi="Arial" w:cs="Arial"/>
          <w:sz w:val="20"/>
          <w:szCs w:val="20"/>
        </w:rPr>
        <w:t xml:space="preserve">sus </w:t>
      </w:r>
      <w:r w:rsidR="00AC1422" w:rsidRPr="00ED5D53">
        <w:rPr>
          <w:rFonts w:ascii="Arial" w:hAnsi="Arial" w:cs="Arial"/>
          <w:sz w:val="20"/>
          <w:szCs w:val="20"/>
        </w:rPr>
        <w:lastRenderedPageBreak/>
        <w:t>fines</w:t>
      </w:r>
      <w:r w:rsidRPr="00ED5D53">
        <w:rPr>
          <w:rFonts w:ascii="Arial" w:hAnsi="Arial" w:cs="Arial"/>
          <w:sz w:val="20"/>
          <w:szCs w:val="20"/>
        </w:rPr>
        <w:t xml:space="preserve">, y esto se ve reflejado en el aumento considerable de casos de violencia familiar en los juzgados y que muchos de estos casos han acabado </w:t>
      </w:r>
      <w:r w:rsidR="00AC1422" w:rsidRPr="00ED5D53">
        <w:rPr>
          <w:rFonts w:ascii="Arial" w:hAnsi="Arial" w:cs="Arial"/>
          <w:sz w:val="20"/>
          <w:szCs w:val="20"/>
        </w:rPr>
        <w:t>materializándose en</w:t>
      </w:r>
      <w:r w:rsidRPr="00ED5D53">
        <w:rPr>
          <w:rFonts w:ascii="Arial" w:hAnsi="Arial" w:cs="Arial"/>
          <w:sz w:val="20"/>
          <w:szCs w:val="20"/>
        </w:rPr>
        <w:t xml:space="preserve"> el delito de feminicidio.</w:t>
      </w:r>
    </w:p>
    <w:p w:rsidR="00AC1422" w:rsidRPr="00ED5D53" w:rsidRDefault="00AC1422" w:rsidP="00AC1422">
      <w:pPr>
        <w:pStyle w:val="Prrafodelista"/>
        <w:tabs>
          <w:tab w:val="left" w:pos="1047"/>
        </w:tabs>
        <w:ind w:left="567" w:firstLine="0"/>
        <w:rPr>
          <w:rFonts w:ascii="Arial" w:hAnsi="Arial" w:cs="Arial"/>
          <w:sz w:val="20"/>
          <w:szCs w:val="20"/>
        </w:rPr>
      </w:pPr>
    </w:p>
    <w:p w:rsidR="0017421D" w:rsidRPr="00ED5D53" w:rsidRDefault="0017421D" w:rsidP="002637F7">
      <w:pPr>
        <w:pStyle w:val="Prrafodelista"/>
        <w:tabs>
          <w:tab w:val="left" w:pos="1047"/>
        </w:tabs>
        <w:ind w:hanging="720"/>
        <w:rPr>
          <w:rFonts w:ascii="Arial" w:hAnsi="Arial" w:cs="Arial"/>
          <w:b/>
          <w:bCs/>
          <w:sz w:val="20"/>
          <w:szCs w:val="20"/>
        </w:rPr>
      </w:pPr>
      <w:r w:rsidRPr="00ED5D53">
        <w:rPr>
          <w:rFonts w:ascii="Arial" w:hAnsi="Arial" w:cs="Arial"/>
          <w:b/>
          <w:bCs/>
          <w:sz w:val="20"/>
          <w:szCs w:val="20"/>
        </w:rPr>
        <w:t xml:space="preserve">REFERENCIAS </w:t>
      </w:r>
    </w:p>
    <w:p w:rsidR="007A5D6B" w:rsidRPr="00ED5D53" w:rsidRDefault="007A5D6B" w:rsidP="00BA40D9">
      <w:pPr>
        <w:spacing w:line="480" w:lineRule="auto"/>
        <w:ind w:left="709" w:hanging="1"/>
        <w:rPr>
          <w:rFonts w:ascii="Arial" w:eastAsia="Calibri" w:hAnsi="Arial" w:cs="Arial"/>
          <w:color w:val="000000"/>
          <w:sz w:val="20"/>
          <w:szCs w:val="20"/>
        </w:rPr>
      </w:pPr>
    </w:p>
    <w:p w:rsidR="007A5D6B" w:rsidRPr="00ED5D53" w:rsidRDefault="007A5D6B" w:rsidP="007A5D6B">
      <w:pPr>
        <w:spacing w:line="480" w:lineRule="auto"/>
        <w:ind w:left="709" w:hanging="709"/>
        <w:rPr>
          <w:rFonts w:ascii="Arial" w:eastAsia="Calibri" w:hAnsi="Arial" w:cs="Arial"/>
          <w:color w:val="000000"/>
          <w:sz w:val="20"/>
          <w:szCs w:val="20"/>
        </w:rPr>
      </w:pPr>
      <w:r w:rsidRPr="00ED5D53">
        <w:rPr>
          <w:rFonts w:ascii="Arial" w:eastAsia="Calibri" w:hAnsi="Arial" w:cs="Arial"/>
          <w:color w:val="000000"/>
          <w:sz w:val="20"/>
          <w:szCs w:val="20"/>
        </w:rPr>
        <w:t xml:space="preserve">Aguirre, C. (2012) </w:t>
      </w:r>
      <w:r w:rsidRPr="00ED5D53">
        <w:rPr>
          <w:rFonts w:ascii="Arial" w:eastAsia="Calibri" w:hAnsi="Arial" w:cs="Arial"/>
          <w:i/>
          <w:color w:val="000000"/>
          <w:sz w:val="20"/>
          <w:szCs w:val="20"/>
        </w:rPr>
        <w:t>El programa nacional contra la violencia familiar y sexual y su impacto en la prevalencia de la violencia familiar y sexual en el Perú, periodo 2003-2009</w:t>
      </w:r>
      <w:r w:rsidRPr="00ED5D53">
        <w:rPr>
          <w:rFonts w:ascii="Arial" w:eastAsia="Calibri" w:hAnsi="Arial" w:cs="Arial"/>
          <w:color w:val="000000"/>
          <w:sz w:val="20"/>
          <w:szCs w:val="20"/>
        </w:rPr>
        <w:t xml:space="preserve"> [Tesis maestro Universidad Nacional de Ingeniería]. Repositorio Institucional.</w:t>
      </w:r>
      <w:r w:rsidRPr="00ED5D53">
        <w:rPr>
          <w:rFonts w:ascii="Arial" w:eastAsia="Calibri" w:hAnsi="Arial" w:cs="Arial"/>
          <w:sz w:val="20"/>
          <w:szCs w:val="20"/>
        </w:rPr>
        <w:t xml:space="preserve"> </w:t>
      </w:r>
      <w:hyperlink r:id="rId10" w:history="1">
        <w:r w:rsidRPr="00ED5D53">
          <w:rPr>
            <w:rFonts w:ascii="Arial" w:eastAsia="Calibri" w:hAnsi="Arial" w:cs="Arial"/>
            <w:color w:val="0563C1"/>
            <w:sz w:val="20"/>
            <w:szCs w:val="20"/>
            <w:u w:val="single"/>
          </w:rPr>
          <w:t>https://repositorio.upla.edu.pe/bitstream/handle/20.500.12848/2785/T037_80073922_M.pdf?sequence=1&amp;isAllowed=y</w:t>
        </w:r>
      </w:hyperlink>
    </w:p>
    <w:p w:rsidR="007A5D6B" w:rsidRPr="00ED5D53" w:rsidRDefault="007A5D6B" w:rsidP="007A5D6B">
      <w:pPr>
        <w:spacing w:line="480" w:lineRule="auto"/>
        <w:ind w:left="709" w:hanging="709"/>
        <w:rPr>
          <w:rFonts w:ascii="Arial" w:eastAsia="Calibri" w:hAnsi="Arial" w:cs="Arial"/>
          <w:color w:val="000000"/>
          <w:sz w:val="20"/>
          <w:szCs w:val="20"/>
        </w:rPr>
      </w:pPr>
      <w:r w:rsidRPr="00ED5D53">
        <w:rPr>
          <w:rFonts w:ascii="Arial" w:eastAsia="Calibri" w:hAnsi="Arial" w:cs="Arial"/>
          <w:color w:val="000000"/>
          <w:sz w:val="20"/>
          <w:szCs w:val="20"/>
        </w:rPr>
        <w:t xml:space="preserve">Martines, C. (2017) Genero y </w:t>
      </w:r>
      <w:proofErr w:type="gramStart"/>
      <w:r w:rsidRPr="00ED5D53">
        <w:rPr>
          <w:rFonts w:ascii="Arial" w:eastAsia="Calibri" w:hAnsi="Arial" w:cs="Arial"/>
          <w:color w:val="000000"/>
          <w:sz w:val="20"/>
          <w:szCs w:val="20"/>
        </w:rPr>
        <w:t>paz :</w:t>
      </w:r>
      <w:proofErr w:type="gramEnd"/>
      <w:r w:rsidRPr="00ED5D53">
        <w:rPr>
          <w:rFonts w:ascii="Arial" w:eastAsia="Calibri" w:hAnsi="Arial" w:cs="Arial"/>
          <w:color w:val="000000"/>
          <w:sz w:val="20"/>
          <w:szCs w:val="20"/>
        </w:rPr>
        <w:t xml:space="preserve"> relatos de mujeres </w:t>
      </w:r>
      <w:proofErr w:type="spellStart"/>
      <w:r w:rsidRPr="00ED5D53">
        <w:rPr>
          <w:rFonts w:ascii="Arial" w:eastAsia="Calibri" w:hAnsi="Arial" w:cs="Arial"/>
          <w:color w:val="000000"/>
          <w:sz w:val="20"/>
          <w:szCs w:val="20"/>
        </w:rPr>
        <w:t>victimas</w:t>
      </w:r>
      <w:proofErr w:type="spellEnd"/>
      <w:r w:rsidRPr="00ED5D53">
        <w:rPr>
          <w:rFonts w:ascii="Arial" w:eastAsia="Calibri" w:hAnsi="Arial" w:cs="Arial"/>
          <w:color w:val="000000"/>
          <w:sz w:val="20"/>
          <w:szCs w:val="20"/>
        </w:rPr>
        <w:t xml:space="preserve"> de violencias. [Tesis doctoral, Universidad de granada]. Repositorio Institucional.</w:t>
      </w:r>
      <w:r w:rsidRPr="00ED5D53">
        <w:rPr>
          <w:rFonts w:ascii="Arial" w:eastAsia="Calibri" w:hAnsi="Arial" w:cs="Arial"/>
          <w:sz w:val="20"/>
          <w:szCs w:val="20"/>
        </w:rPr>
        <w:t xml:space="preserve"> </w:t>
      </w:r>
      <w:hyperlink r:id="rId11" w:history="1">
        <w:r w:rsidRPr="00ED5D53">
          <w:rPr>
            <w:rFonts w:ascii="Arial" w:eastAsia="Calibri" w:hAnsi="Arial" w:cs="Arial"/>
            <w:color w:val="0563C1"/>
            <w:sz w:val="20"/>
            <w:szCs w:val="20"/>
            <w:u w:val="single"/>
          </w:rPr>
          <w:t>https://digibug.ugr.es/bitstream/handle/10481/53584/29106187.pdf?sequence=4&amp;isAllowed=y</w:t>
        </w:r>
      </w:hyperlink>
    </w:p>
    <w:p w:rsidR="007A5D6B" w:rsidRPr="00ED5D53" w:rsidRDefault="007A5D6B" w:rsidP="00BA40D9">
      <w:pPr>
        <w:spacing w:line="480" w:lineRule="auto"/>
        <w:ind w:left="709" w:hanging="709"/>
        <w:rPr>
          <w:rFonts w:ascii="Arial" w:eastAsia="Calibri" w:hAnsi="Arial" w:cs="Arial"/>
          <w:color w:val="000000"/>
          <w:sz w:val="20"/>
          <w:szCs w:val="20"/>
        </w:rPr>
      </w:pPr>
      <w:r w:rsidRPr="00ED5D53">
        <w:rPr>
          <w:rFonts w:ascii="Arial" w:eastAsia="Calibri" w:hAnsi="Arial" w:cs="Arial"/>
          <w:color w:val="000000"/>
          <w:sz w:val="20"/>
          <w:szCs w:val="20"/>
        </w:rPr>
        <w:t xml:space="preserve">Sancho, M. (2019) Violencia hacia la mujer en el ámbito familiar y/o de pareja un enfoque desde la ley civil 24.417 de protección de violencia familiar. [Tesis  doctoral, Universidad </w:t>
      </w:r>
      <w:proofErr w:type="spellStart"/>
      <w:r w:rsidRPr="00ED5D53">
        <w:rPr>
          <w:rFonts w:ascii="Arial" w:eastAsia="Calibri" w:hAnsi="Arial" w:cs="Arial"/>
          <w:color w:val="000000"/>
          <w:sz w:val="20"/>
          <w:szCs w:val="20"/>
        </w:rPr>
        <w:t>Autonoma</w:t>
      </w:r>
      <w:proofErr w:type="spellEnd"/>
      <w:r w:rsidRPr="00ED5D53">
        <w:rPr>
          <w:rFonts w:ascii="Arial" w:eastAsia="Calibri" w:hAnsi="Arial" w:cs="Arial"/>
          <w:color w:val="000000"/>
          <w:sz w:val="20"/>
          <w:szCs w:val="20"/>
        </w:rPr>
        <w:t xml:space="preserve"> de Barcelona]. Repositorio Institucional. </w:t>
      </w:r>
      <w:hyperlink r:id="rId12" w:anchor="page=1" w:history="1">
        <w:r w:rsidRPr="00ED5D53">
          <w:rPr>
            <w:rFonts w:ascii="Arial" w:eastAsia="Calibri" w:hAnsi="Arial" w:cs="Arial"/>
            <w:color w:val="0563C1"/>
            <w:sz w:val="20"/>
            <w:szCs w:val="20"/>
            <w:u w:val="single"/>
          </w:rPr>
          <w:t>https://www.tesisenred.net/handle/10803/667734#page=1</w:t>
        </w:r>
      </w:hyperlink>
    </w:p>
    <w:p w:rsidR="007A5D6B" w:rsidRPr="00ED5D53" w:rsidRDefault="007A5D6B" w:rsidP="007A5D6B">
      <w:pPr>
        <w:spacing w:line="480" w:lineRule="auto"/>
        <w:ind w:left="709" w:hanging="709"/>
        <w:rPr>
          <w:rFonts w:ascii="Arial" w:eastAsia="Calibri" w:hAnsi="Arial" w:cs="Arial"/>
          <w:color w:val="000000"/>
          <w:sz w:val="20"/>
          <w:szCs w:val="20"/>
        </w:rPr>
      </w:pPr>
      <w:r w:rsidRPr="00ED5D53">
        <w:rPr>
          <w:rFonts w:ascii="Arial" w:eastAsia="Calibri" w:hAnsi="Arial" w:cs="Arial"/>
          <w:color w:val="000000"/>
          <w:sz w:val="20"/>
          <w:szCs w:val="20"/>
        </w:rPr>
        <w:t xml:space="preserve">Zeballos, Y. (2021) La </w:t>
      </w:r>
      <w:proofErr w:type="spellStart"/>
      <w:r w:rsidRPr="00ED5D53">
        <w:rPr>
          <w:rFonts w:ascii="Arial" w:eastAsia="Calibri" w:hAnsi="Arial" w:cs="Arial"/>
          <w:color w:val="000000"/>
          <w:sz w:val="20"/>
          <w:szCs w:val="20"/>
        </w:rPr>
        <w:t>sobrecriminalización</w:t>
      </w:r>
      <w:proofErr w:type="spellEnd"/>
      <w:r w:rsidRPr="00ED5D53">
        <w:rPr>
          <w:rFonts w:ascii="Arial" w:eastAsia="Calibri" w:hAnsi="Arial" w:cs="Arial"/>
          <w:color w:val="000000"/>
          <w:sz w:val="20"/>
          <w:szCs w:val="20"/>
        </w:rPr>
        <w:t xml:space="preserve"> y el incremento de la violencia contra las mujeres en el Perú en el año 2017. [Tesis doctoral, Universidad Andina </w:t>
      </w:r>
      <w:proofErr w:type="spellStart"/>
      <w:r w:rsidRPr="00ED5D53">
        <w:rPr>
          <w:rFonts w:ascii="Arial" w:eastAsia="Calibri" w:hAnsi="Arial" w:cs="Arial"/>
          <w:color w:val="000000"/>
          <w:sz w:val="20"/>
          <w:szCs w:val="20"/>
        </w:rPr>
        <w:t>Nestor</w:t>
      </w:r>
      <w:proofErr w:type="spellEnd"/>
      <w:r w:rsidRPr="00ED5D53">
        <w:rPr>
          <w:rFonts w:ascii="Arial" w:eastAsia="Calibri" w:hAnsi="Arial" w:cs="Arial"/>
          <w:color w:val="000000"/>
          <w:sz w:val="20"/>
          <w:szCs w:val="20"/>
        </w:rPr>
        <w:t xml:space="preserve"> </w:t>
      </w:r>
      <w:proofErr w:type="spellStart"/>
      <w:r w:rsidRPr="00ED5D53">
        <w:rPr>
          <w:rFonts w:ascii="Arial" w:eastAsia="Calibri" w:hAnsi="Arial" w:cs="Arial"/>
          <w:color w:val="000000"/>
          <w:sz w:val="20"/>
          <w:szCs w:val="20"/>
        </w:rPr>
        <w:t>Caceres</w:t>
      </w:r>
      <w:proofErr w:type="spellEnd"/>
      <w:r w:rsidRPr="00ED5D53">
        <w:rPr>
          <w:rFonts w:ascii="Arial" w:eastAsia="Calibri" w:hAnsi="Arial" w:cs="Arial"/>
          <w:color w:val="000000"/>
          <w:sz w:val="20"/>
          <w:szCs w:val="20"/>
        </w:rPr>
        <w:t xml:space="preserve"> Velázquez]. Repositorio -institucional UANCV. </w:t>
      </w:r>
      <w:hyperlink r:id="rId13" w:history="1">
        <w:r w:rsidRPr="00ED5D53">
          <w:rPr>
            <w:rFonts w:ascii="Arial" w:eastAsia="Calibri" w:hAnsi="Arial" w:cs="Arial"/>
            <w:color w:val="0563C1"/>
            <w:sz w:val="20"/>
            <w:szCs w:val="20"/>
            <w:u w:val="single"/>
          </w:rPr>
          <w:t>http://repositorio.uancv.edu.pe/bitstream/handle/UANCV/5792/T036_29726602_D.pdf?sequence=1&amp;isAllowed=y</w:t>
        </w:r>
      </w:hyperlink>
    </w:p>
    <w:p w:rsidR="007A5D6B" w:rsidRPr="00ED5D53" w:rsidRDefault="007A5D6B" w:rsidP="00BA40D9">
      <w:pPr>
        <w:spacing w:line="480" w:lineRule="auto"/>
        <w:ind w:left="709" w:hanging="709"/>
        <w:rPr>
          <w:rFonts w:ascii="Arial" w:eastAsia="Calibri" w:hAnsi="Arial" w:cs="Arial"/>
          <w:color w:val="000000"/>
          <w:sz w:val="20"/>
          <w:szCs w:val="20"/>
        </w:rPr>
      </w:pPr>
    </w:p>
    <w:p w:rsidR="000D759C" w:rsidRPr="00ED5D53" w:rsidRDefault="000D759C" w:rsidP="000D759C">
      <w:pPr>
        <w:rPr>
          <w:rFonts w:ascii="Arial" w:hAnsi="Arial" w:cs="Arial"/>
          <w:iCs/>
          <w:sz w:val="20"/>
          <w:szCs w:val="20"/>
        </w:rPr>
      </w:pPr>
    </w:p>
    <w:sectPr w:rsidR="000D759C" w:rsidRPr="00ED5D53" w:rsidSect="00665BE8">
      <w:headerReference w:type="default" r:id="rId14"/>
      <w:pgSz w:w="11906" w:h="16838"/>
      <w:pgMar w:top="1258"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A0F" w:rsidRDefault="00EB5A0F" w:rsidP="0017421D">
      <w:r>
        <w:separator/>
      </w:r>
    </w:p>
  </w:endnote>
  <w:endnote w:type="continuationSeparator" w:id="0">
    <w:p w:rsidR="00EB5A0F" w:rsidRDefault="00EB5A0F" w:rsidP="001742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95C" w:rsidRDefault="00ED795C" w:rsidP="00A003DD">
    <w:pPr>
      <w:pStyle w:val="Textonotapie"/>
      <w:rPr>
        <w:sz w:val="18"/>
      </w:rPr>
    </w:pPr>
  </w:p>
  <w:p w:rsidR="00A003DD" w:rsidRDefault="00A003DD">
    <w:pPr>
      <w:pStyle w:val="Piedepgina"/>
    </w:pPr>
  </w:p>
  <w:p w:rsidR="0017421D" w:rsidRPr="005938F8" w:rsidRDefault="0017421D" w:rsidP="005938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A0F" w:rsidRDefault="00EB5A0F" w:rsidP="0017421D">
      <w:r>
        <w:separator/>
      </w:r>
    </w:p>
  </w:footnote>
  <w:footnote w:type="continuationSeparator" w:id="0">
    <w:p w:rsidR="00EB5A0F" w:rsidRDefault="00EB5A0F" w:rsidP="001742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1D" w:rsidRPr="0039294C" w:rsidRDefault="0017421D" w:rsidP="00FE09A7">
    <w:pPr>
      <w:tabs>
        <w:tab w:val="left" w:pos="1770"/>
        <w:tab w:val="left" w:pos="6663"/>
        <w:tab w:val="right" w:pos="8499"/>
      </w:tabs>
      <w:spacing w:before="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E1" w:rsidRPr="0066124A" w:rsidRDefault="00EB5A0F" w:rsidP="006D3A3B">
    <w:pPr>
      <w:pStyle w:val="06encabezamiento"/>
      <w:jc w:val="center"/>
      <w:rPr>
        <w:vertAlign w:val="superscript"/>
      </w:rPr>
    </w:pPr>
  </w:p>
  <w:p w:rsidR="008F0B23" w:rsidRDefault="00EB5A0F" w:rsidP="008F0B23">
    <w:pPr>
      <w:pBdr>
        <w:top w:val="nil"/>
        <w:left w:val="nil"/>
        <w:bottom w:val="nil"/>
        <w:right w:val="nil"/>
        <w:between w:val="nil"/>
      </w:pBdr>
      <w:tabs>
        <w:tab w:val="center" w:pos="4252"/>
        <w:tab w:val="right" w:pos="8504"/>
      </w:tabs>
      <w:rPr>
        <w:rFonts w:ascii="Century Gothic" w:eastAsia="Century Gothic" w:hAnsi="Century Gothic" w:cs="Century Gothic"/>
        <w:color w:val="393A6B"/>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8pt;height:10.8pt" o:bullet="t">
        <v:imagedata r:id="rId1" o:title="msoD77F"/>
      </v:shape>
    </w:pict>
  </w:numPicBullet>
  <w:abstractNum w:abstractNumId="0">
    <w:nsid w:val="02A93D0B"/>
    <w:multiLevelType w:val="hybridMultilevel"/>
    <w:tmpl w:val="84309D70"/>
    <w:lvl w:ilvl="0" w:tplc="C54A657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EC393A"/>
    <w:multiLevelType w:val="hybridMultilevel"/>
    <w:tmpl w:val="67F8FD8E"/>
    <w:lvl w:ilvl="0" w:tplc="7286F4D8">
      <w:start w:val="1"/>
      <w:numFmt w:val="lowerLetter"/>
      <w:lvlText w:val="%1."/>
      <w:lvlJc w:val="left"/>
      <w:pPr>
        <w:ind w:left="840" w:hanging="360"/>
      </w:pPr>
      <w:rPr>
        <w:rFonts w:hint="default"/>
      </w:rPr>
    </w:lvl>
    <w:lvl w:ilvl="1" w:tplc="280A0019" w:tentative="1">
      <w:start w:val="1"/>
      <w:numFmt w:val="lowerLetter"/>
      <w:lvlText w:val="%2."/>
      <w:lvlJc w:val="left"/>
      <w:pPr>
        <w:ind w:left="1560" w:hanging="360"/>
      </w:pPr>
    </w:lvl>
    <w:lvl w:ilvl="2" w:tplc="280A001B" w:tentative="1">
      <w:start w:val="1"/>
      <w:numFmt w:val="lowerRoman"/>
      <w:lvlText w:val="%3."/>
      <w:lvlJc w:val="right"/>
      <w:pPr>
        <w:ind w:left="2280" w:hanging="180"/>
      </w:pPr>
    </w:lvl>
    <w:lvl w:ilvl="3" w:tplc="280A000F" w:tentative="1">
      <w:start w:val="1"/>
      <w:numFmt w:val="decimal"/>
      <w:lvlText w:val="%4."/>
      <w:lvlJc w:val="left"/>
      <w:pPr>
        <w:ind w:left="3000" w:hanging="360"/>
      </w:pPr>
    </w:lvl>
    <w:lvl w:ilvl="4" w:tplc="280A0019" w:tentative="1">
      <w:start w:val="1"/>
      <w:numFmt w:val="lowerLetter"/>
      <w:lvlText w:val="%5."/>
      <w:lvlJc w:val="left"/>
      <w:pPr>
        <w:ind w:left="3720" w:hanging="360"/>
      </w:pPr>
    </w:lvl>
    <w:lvl w:ilvl="5" w:tplc="280A001B" w:tentative="1">
      <w:start w:val="1"/>
      <w:numFmt w:val="lowerRoman"/>
      <w:lvlText w:val="%6."/>
      <w:lvlJc w:val="right"/>
      <w:pPr>
        <w:ind w:left="4440" w:hanging="180"/>
      </w:pPr>
    </w:lvl>
    <w:lvl w:ilvl="6" w:tplc="280A000F" w:tentative="1">
      <w:start w:val="1"/>
      <w:numFmt w:val="decimal"/>
      <w:lvlText w:val="%7."/>
      <w:lvlJc w:val="left"/>
      <w:pPr>
        <w:ind w:left="5160" w:hanging="360"/>
      </w:pPr>
    </w:lvl>
    <w:lvl w:ilvl="7" w:tplc="280A0019" w:tentative="1">
      <w:start w:val="1"/>
      <w:numFmt w:val="lowerLetter"/>
      <w:lvlText w:val="%8."/>
      <w:lvlJc w:val="left"/>
      <w:pPr>
        <w:ind w:left="5880" w:hanging="360"/>
      </w:pPr>
    </w:lvl>
    <w:lvl w:ilvl="8" w:tplc="280A001B" w:tentative="1">
      <w:start w:val="1"/>
      <w:numFmt w:val="lowerRoman"/>
      <w:lvlText w:val="%9."/>
      <w:lvlJc w:val="right"/>
      <w:pPr>
        <w:ind w:left="6600" w:hanging="180"/>
      </w:pPr>
    </w:lvl>
  </w:abstractNum>
  <w:abstractNum w:abstractNumId="2">
    <w:nsid w:val="1EDC271F"/>
    <w:multiLevelType w:val="hybridMultilevel"/>
    <w:tmpl w:val="EC807408"/>
    <w:lvl w:ilvl="0" w:tplc="0E5E7354">
      <w:start w:val="1"/>
      <w:numFmt w:val="upperLetter"/>
      <w:lvlText w:val="%1."/>
      <w:lvlJc w:val="left"/>
      <w:pPr>
        <w:ind w:left="473" w:hanging="360"/>
      </w:pPr>
      <w:rPr>
        <w:rFonts w:hint="default"/>
      </w:rPr>
    </w:lvl>
    <w:lvl w:ilvl="1" w:tplc="080A0019" w:tentative="1">
      <w:start w:val="1"/>
      <w:numFmt w:val="lowerLetter"/>
      <w:lvlText w:val="%2."/>
      <w:lvlJc w:val="left"/>
      <w:pPr>
        <w:ind w:left="1193" w:hanging="360"/>
      </w:pPr>
    </w:lvl>
    <w:lvl w:ilvl="2" w:tplc="080A001B" w:tentative="1">
      <w:start w:val="1"/>
      <w:numFmt w:val="lowerRoman"/>
      <w:lvlText w:val="%3."/>
      <w:lvlJc w:val="right"/>
      <w:pPr>
        <w:ind w:left="1913" w:hanging="180"/>
      </w:pPr>
    </w:lvl>
    <w:lvl w:ilvl="3" w:tplc="080A000F" w:tentative="1">
      <w:start w:val="1"/>
      <w:numFmt w:val="decimal"/>
      <w:lvlText w:val="%4."/>
      <w:lvlJc w:val="left"/>
      <w:pPr>
        <w:ind w:left="2633" w:hanging="360"/>
      </w:pPr>
    </w:lvl>
    <w:lvl w:ilvl="4" w:tplc="080A0019" w:tentative="1">
      <w:start w:val="1"/>
      <w:numFmt w:val="lowerLetter"/>
      <w:lvlText w:val="%5."/>
      <w:lvlJc w:val="left"/>
      <w:pPr>
        <w:ind w:left="3353" w:hanging="360"/>
      </w:pPr>
    </w:lvl>
    <w:lvl w:ilvl="5" w:tplc="080A001B" w:tentative="1">
      <w:start w:val="1"/>
      <w:numFmt w:val="lowerRoman"/>
      <w:lvlText w:val="%6."/>
      <w:lvlJc w:val="right"/>
      <w:pPr>
        <w:ind w:left="4073" w:hanging="180"/>
      </w:pPr>
    </w:lvl>
    <w:lvl w:ilvl="6" w:tplc="080A000F" w:tentative="1">
      <w:start w:val="1"/>
      <w:numFmt w:val="decimal"/>
      <w:lvlText w:val="%7."/>
      <w:lvlJc w:val="left"/>
      <w:pPr>
        <w:ind w:left="4793" w:hanging="360"/>
      </w:pPr>
    </w:lvl>
    <w:lvl w:ilvl="7" w:tplc="080A0019" w:tentative="1">
      <w:start w:val="1"/>
      <w:numFmt w:val="lowerLetter"/>
      <w:lvlText w:val="%8."/>
      <w:lvlJc w:val="left"/>
      <w:pPr>
        <w:ind w:left="5513" w:hanging="360"/>
      </w:pPr>
    </w:lvl>
    <w:lvl w:ilvl="8" w:tplc="080A001B" w:tentative="1">
      <w:start w:val="1"/>
      <w:numFmt w:val="lowerRoman"/>
      <w:lvlText w:val="%9."/>
      <w:lvlJc w:val="right"/>
      <w:pPr>
        <w:ind w:left="6233" w:hanging="180"/>
      </w:pPr>
    </w:lvl>
  </w:abstractNum>
  <w:abstractNum w:abstractNumId="3">
    <w:nsid w:val="2445164D"/>
    <w:multiLevelType w:val="hybridMultilevel"/>
    <w:tmpl w:val="662C0E4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34AA2D81"/>
    <w:multiLevelType w:val="hybridMultilevel"/>
    <w:tmpl w:val="B0509D24"/>
    <w:lvl w:ilvl="0" w:tplc="0C0A000F">
      <w:start w:val="1"/>
      <w:numFmt w:val="decimal"/>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
    <w:nsid w:val="35B40994"/>
    <w:multiLevelType w:val="hybridMultilevel"/>
    <w:tmpl w:val="39FCED98"/>
    <w:lvl w:ilvl="0" w:tplc="280A0001">
      <w:start w:val="1"/>
      <w:numFmt w:val="bullet"/>
      <w:lvlText w:val=""/>
      <w:lvlJc w:val="left"/>
      <w:pPr>
        <w:ind w:left="1440" w:hanging="360"/>
      </w:pPr>
      <w:rPr>
        <w:rFonts w:ascii="Symbol" w:hAnsi="Symbol" w:cs="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
    <w:nsid w:val="37AC06CF"/>
    <w:multiLevelType w:val="hybridMultilevel"/>
    <w:tmpl w:val="17BAB1EE"/>
    <w:lvl w:ilvl="0" w:tplc="280A0001">
      <w:start w:val="1"/>
      <w:numFmt w:val="bullet"/>
      <w:lvlText w:val=""/>
      <w:lvlJc w:val="left"/>
      <w:pPr>
        <w:ind w:left="1440" w:hanging="360"/>
      </w:pPr>
      <w:rPr>
        <w:rFonts w:ascii="Symbol" w:hAnsi="Symbol" w:cs="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nsid w:val="37E63C88"/>
    <w:multiLevelType w:val="hybridMultilevel"/>
    <w:tmpl w:val="ABF448B2"/>
    <w:lvl w:ilvl="0" w:tplc="274AA4DA">
      <w:start w:val="1"/>
      <w:numFmt w:val="lowerLetter"/>
      <w:lvlText w:val="%1."/>
      <w:lvlJc w:val="left"/>
      <w:pPr>
        <w:ind w:left="1080" w:hanging="360"/>
      </w:pPr>
      <w:rPr>
        <w:rFonts w:cstheme="minorBidi"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
    <w:nsid w:val="3DA52673"/>
    <w:multiLevelType w:val="hybridMultilevel"/>
    <w:tmpl w:val="7EA01F7C"/>
    <w:lvl w:ilvl="0" w:tplc="280A0001">
      <w:start w:val="1"/>
      <w:numFmt w:val="bullet"/>
      <w:lvlText w:val=""/>
      <w:lvlJc w:val="left"/>
      <w:pPr>
        <w:ind w:left="2160" w:hanging="360"/>
      </w:pPr>
      <w:rPr>
        <w:rFonts w:ascii="Symbol" w:hAnsi="Symbol" w:cs="Symbol"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9">
    <w:nsid w:val="4AFD1438"/>
    <w:multiLevelType w:val="hybridMultilevel"/>
    <w:tmpl w:val="FAD69D4C"/>
    <w:lvl w:ilvl="0" w:tplc="4976BE2A">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nsid w:val="4CA100BF"/>
    <w:multiLevelType w:val="hybridMultilevel"/>
    <w:tmpl w:val="B5D8D25C"/>
    <w:lvl w:ilvl="0" w:tplc="280A0007">
      <w:start w:val="1"/>
      <w:numFmt w:val="bullet"/>
      <w:lvlText w:val=""/>
      <w:lvlPicBulletId w:val="0"/>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nsid w:val="4D9166EC"/>
    <w:multiLevelType w:val="hybridMultilevel"/>
    <w:tmpl w:val="9A88B9F8"/>
    <w:lvl w:ilvl="0" w:tplc="280A0001">
      <w:start w:val="1"/>
      <w:numFmt w:val="bullet"/>
      <w:lvlText w:val=""/>
      <w:lvlJc w:val="left"/>
      <w:pPr>
        <w:ind w:left="1440" w:hanging="360"/>
      </w:pPr>
      <w:rPr>
        <w:rFonts w:ascii="Symbol" w:hAnsi="Symbol" w:cs="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nsid w:val="72660F3E"/>
    <w:multiLevelType w:val="hybridMultilevel"/>
    <w:tmpl w:val="FFA4FC8C"/>
    <w:lvl w:ilvl="0" w:tplc="280A0001">
      <w:start w:val="1"/>
      <w:numFmt w:val="bullet"/>
      <w:lvlText w:val=""/>
      <w:lvlJc w:val="left"/>
      <w:pPr>
        <w:ind w:left="720" w:hanging="360"/>
      </w:pPr>
      <w:rPr>
        <w:rFonts w:ascii="Symbol" w:hAnsi="Symbol" w:cs="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4"/>
  </w:num>
  <w:num w:numId="4">
    <w:abstractNumId w:val="12"/>
  </w:num>
  <w:num w:numId="5">
    <w:abstractNumId w:val="0"/>
  </w:num>
  <w:num w:numId="6">
    <w:abstractNumId w:val="2"/>
  </w:num>
  <w:num w:numId="7">
    <w:abstractNumId w:val="6"/>
  </w:num>
  <w:num w:numId="8">
    <w:abstractNumId w:val="5"/>
  </w:num>
  <w:num w:numId="9">
    <w:abstractNumId w:val="11"/>
  </w:num>
  <w:num w:numId="10">
    <w:abstractNumId w:val="7"/>
  </w:num>
  <w:num w:numId="11">
    <w:abstractNumId w:val="1"/>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17421D"/>
    <w:rsid w:val="00016BA9"/>
    <w:rsid w:val="00017E1A"/>
    <w:rsid w:val="00021E58"/>
    <w:rsid w:val="00031F35"/>
    <w:rsid w:val="000647CA"/>
    <w:rsid w:val="00090C78"/>
    <w:rsid w:val="000B445D"/>
    <w:rsid w:val="000C1DE3"/>
    <w:rsid w:val="000D759C"/>
    <w:rsid w:val="00105597"/>
    <w:rsid w:val="00112B54"/>
    <w:rsid w:val="0014095A"/>
    <w:rsid w:val="0017421D"/>
    <w:rsid w:val="001921B5"/>
    <w:rsid w:val="00194470"/>
    <w:rsid w:val="001B3004"/>
    <w:rsid w:val="002637F7"/>
    <w:rsid w:val="00277AD8"/>
    <w:rsid w:val="002B2026"/>
    <w:rsid w:val="002B592A"/>
    <w:rsid w:val="002C1679"/>
    <w:rsid w:val="002D46EE"/>
    <w:rsid w:val="00336D0A"/>
    <w:rsid w:val="00350A45"/>
    <w:rsid w:val="00366E66"/>
    <w:rsid w:val="003B2A35"/>
    <w:rsid w:val="003F7BD6"/>
    <w:rsid w:val="00422466"/>
    <w:rsid w:val="004414E8"/>
    <w:rsid w:val="00476AFF"/>
    <w:rsid w:val="00481AF4"/>
    <w:rsid w:val="004950A1"/>
    <w:rsid w:val="004967C8"/>
    <w:rsid w:val="004B3F47"/>
    <w:rsid w:val="004D2943"/>
    <w:rsid w:val="004D2CF2"/>
    <w:rsid w:val="004D6541"/>
    <w:rsid w:val="0050267C"/>
    <w:rsid w:val="005170EB"/>
    <w:rsid w:val="005171D6"/>
    <w:rsid w:val="00524D40"/>
    <w:rsid w:val="00535919"/>
    <w:rsid w:val="005558CF"/>
    <w:rsid w:val="00566AD7"/>
    <w:rsid w:val="005D5751"/>
    <w:rsid w:val="005E649C"/>
    <w:rsid w:val="00627B86"/>
    <w:rsid w:val="0063009B"/>
    <w:rsid w:val="00665BE8"/>
    <w:rsid w:val="00703BD7"/>
    <w:rsid w:val="007063E9"/>
    <w:rsid w:val="00712B99"/>
    <w:rsid w:val="0078498A"/>
    <w:rsid w:val="007935CF"/>
    <w:rsid w:val="007A5D6B"/>
    <w:rsid w:val="007A6467"/>
    <w:rsid w:val="0088299C"/>
    <w:rsid w:val="00972BC4"/>
    <w:rsid w:val="00993901"/>
    <w:rsid w:val="009D60FB"/>
    <w:rsid w:val="00A003DD"/>
    <w:rsid w:val="00A1611D"/>
    <w:rsid w:val="00A5202F"/>
    <w:rsid w:val="00AC1422"/>
    <w:rsid w:val="00AD427C"/>
    <w:rsid w:val="00AE6E4D"/>
    <w:rsid w:val="00AF7098"/>
    <w:rsid w:val="00B514B4"/>
    <w:rsid w:val="00B97450"/>
    <w:rsid w:val="00BA15E7"/>
    <w:rsid w:val="00BA40D9"/>
    <w:rsid w:val="00BB6FB3"/>
    <w:rsid w:val="00BC40F1"/>
    <w:rsid w:val="00C67954"/>
    <w:rsid w:val="00C80B80"/>
    <w:rsid w:val="00C92E76"/>
    <w:rsid w:val="00CC5490"/>
    <w:rsid w:val="00CD2D5B"/>
    <w:rsid w:val="00CE1851"/>
    <w:rsid w:val="00CF325A"/>
    <w:rsid w:val="00D048A4"/>
    <w:rsid w:val="00D174B5"/>
    <w:rsid w:val="00D7633D"/>
    <w:rsid w:val="00D84E6C"/>
    <w:rsid w:val="00DA3467"/>
    <w:rsid w:val="00DA64BD"/>
    <w:rsid w:val="00DF711F"/>
    <w:rsid w:val="00E25AA2"/>
    <w:rsid w:val="00E3633D"/>
    <w:rsid w:val="00E60FC0"/>
    <w:rsid w:val="00E91CDF"/>
    <w:rsid w:val="00EB4C13"/>
    <w:rsid w:val="00EB5A0F"/>
    <w:rsid w:val="00ED5D53"/>
    <w:rsid w:val="00ED79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98A"/>
    <w:pPr>
      <w:spacing w:after="0" w:line="360" w:lineRule="auto"/>
      <w:ind w:firstLine="720"/>
      <w:jc w:val="both"/>
    </w:pPr>
    <w:rPr>
      <w:rFonts w:ascii="Times New Roman" w:hAnsi="Times New Roman"/>
      <w:sz w:val="18"/>
    </w:rPr>
  </w:style>
  <w:style w:type="paragraph" w:styleId="Ttulo1">
    <w:name w:val="heading 1"/>
    <w:basedOn w:val="Normal"/>
    <w:next w:val="Normal"/>
    <w:link w:val="Ttulo1Car"/>
    <w:uiPriority w:val="9"/>
    <w:qFormat/>
    <w:rsid w:val="00016B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921B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B514B4"/>
    <w:pPr>
      <w:spacing w:before="100" w:beforeAutospacing="1" w:after="100" w:afterAutospacing="1"/>
      <w:outlineLvl w:val="2"/>
    </w:pPr>
    <w:rPr>
      <w:rFonts w:eastAsia="Times New Roman" w:cs="Times New Roman"/>
      <w:b/>
      <w:bCs/>
      <w:sz w:val="27"/>
      <w:szCs w:val="27"/>
      <w:lang w:eastAsia="es-PE"/>
    </w:rPr>
  </w:style>
  <w:style w:type="paragraph" w:styleId="Ttulo4">
    <w:name w:val="heading 4"/>
    <w:basedOn w:val="Normal"/>
    <w:next w:val="Normal"/>
    <w:link w:val="Ttulo4Car"/>
    <w:uiPriority w:val="9"/>
    <w:semiHidden/>
    <w:unhideWhenUsed/>
    <w:qFormat/>
    <w:rsid w:val="00E25AA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7421D"/>
    <w:pPr>
      <w:tabs>
        <w:tab w:val="center" w:pos="4252"/>
        <w:tab w:val="right" w:pos="8504"/>
      </w:tabs>
    </w:pPr>
  </w:style>
  <w:style w:type="character" w:customStyle="1" w:styleId="PiedepginaCar">
    <w:name w:val="Pie de página Car"/>
    <w:basedOn w:val="Fuentedeprrafopredeter"/>
    <w:link w:val="Piedepgina"/>
    <w:uiPriority w:val="99"/>
    <w:rsid w:val="0017421D"/>
  </w:style>
  <w:style w:type="paragraph" w:styleId="Textonotapie">
    <w:name w:val="footnote text"/>
    <w:basedOn w:val="Normal"/>
    <w:link w:val="TextonotapieCar"/>
    <w:uiPriority w:val="99"/>
    <w:semiHidden/>
    <w:unhideWhenUsed/>
    <w:rsid w:val="0017421D"/>
    <w:rPr>
      <w:sz w:val="20"/>
      <w:szCs w:val="20"/>
    </w:rPr>
  </w:style>
  <w:style w:type="character" w:customStyle="1" w:styleId="TextonotapieCar">
    <w:name w:val="Texto nota pie Car"/>
    <w:basedOn w:val="Fuentedeprrafopredeter"/>
    <w:link w:val="Textonotapie"/>
    <w:uiPriority w:val="99"/>
    <w:semiHidden/>
    <w:rsid w:val="0017421D"/>
    <w:rPr>
      <w:sz w:val="20"/>
      <w:szCs w:val="20"/>
    </w:rPr>
  </w:style>
  <w:style w:type="character" w:styleId="Refdenotaalpie">
    <w:name w:val="footnote reference"/>
    <w:basedOn w:val="Fuentedeprrafopredeter"/>
    <w:uiPriority w:val="99"/>
    <w:semiHidden/>
    <w:unhideWhenUsed/>
    <w:rsid w:val="0017421D"/>
    <w:rPr>
      <w:vertAlign w:val="superscript"/>
    </w:rPr>
  </w:style>
  <w:style w:type="paragraph" w:styleId="Sinespaciado">
    <w:name w:val="No Spacing"/>
    <w:uiPriority w:val="1"/>
    <w:qFormat/>
    <w:rsid w:val="0017421D"/>
    <w:pPr>
      <w:spacing w:after="0" w:line="240" w:lineRule="auto"/>
    </w:pPr>
  </w:style>
  <w:style w:type="paragraph" w:styleId="Prrafodelista">
    <w:name w:val="List Paragraph"/>
    <w:basedOn w:val="Normal"/>
    <w:uiPriority w:val="34"/>
    <w:qFormat/>
    <w:rsid w:val="0017421D"/>
    <w:pPr>
      <w:ind w:left="720"/>
      <w:contextualSpacing/>
    </w:pPr>
  </w:style>
  <w:style w:type="paragraph" w:customStyle="1" w:styleId="06encabezamiento">
    <w:name w:val="06. encabezamiento"/>
    <w:autoRedefine/>
    <w:qFormat/>
    <w:rsid w:val="0017421D"/>
    <w:pPr>
      <w:spacing w:after="0" w:line="240" w:lineRule="exact"/>
      <w:jc w:val="right"/>
    </w:pPr>
    <w:rPr>
      <w:rFonts w:ascii="Times New Roman" w:eastAsia="MS Mincho" w:hAnsi="Times New Roman" w:cs="Times New Roman"/>
      <w:sz w:val="16"/>
      <w:szCs w:val="16"/>
      <w:lang w:val="pt-BR" w:eastAsia="pt-BR"/>
    </w:rPr>
  </w:style>
  <w:style w:type="character" w:styleId="Hipervnculo">
    <w:name w:val="Hyperlink"/>
    <w:basedOn w:val="Fuentedeprrafopredeter"/>
    <w:uiPriority w:val="99"/>
    <w:unhideWhenUsed/>
    <w:rsid w:val="0017421D"/>
    <w:rPr>
      <w:color w:val="0563C1" w:themeColor="hyperlink"/>
      <w:u w:val="single"/>
    </w:rPr>
  </w:style>
  <w:style w:type="paragraph" w:styleId="Textoindependiente">
    <w:name w:val="Body Text"/>
    <w:basedOn w:val="Normal"/>
    <w:link w:val="TextoindependienteCar"/>
    <w:uiPriority w:val="1"/>
    <w:qFormat/>
    <w:rsid w:val="0063009B"/>
    <w:pPr>
      <w:widowControl w:val="0"/>
      <w:autoSpaceDE w:val="0"/>
      <w:autoSpaceDN w:val="0"/>
      <w:adjustRightInd w:val="0"/>
    </w:pPr>
    <w:rPr>
      <w:rFonts w:eastAsia="Times New Roman" w:cs="Times New Roman"/>
      <w:sz w:val="24"/>
      <w:szCs w:val="24"/>
      <w:lang w:eastAsia="es-PE"/>
    </w:rPr>
  </w:style>
  <w:style w:type="character" w:customStyle="1" w:styleId="TextoindependienteCar">
    <w:name w:val="Texto independiente Car"/>
    <w:basedOn w:val="Fuentedeprrafopredeter"/>
    <w:link w:val="Textoindependiente"/>
    <w:uiPriority w:val="1"/>
    <w:rsid w:val="0063009B"/>
    <w:rPr>
      <w:rFonts w:ascii="Times New Roman" w:eastAsia="Times New Roman" w:hAnsi="Times New Roman" w:cs="Times New Roman"/>
      <w:sz w:val="24"/>
      <w:szCs w:val="24"/>
      <w:lang w:eastAsia="es-PE"/>
    </w:rPr>
  </w:style>
  <w:style w:type="character" w:customStyle="1" w:styleId="UnresolvedMention">
    <w:name w:val="Unresolved Mention"/>
    <w:basedOn w:val="Fuentedeprrafopredeter"/>
    <w:uiPriority w:val="99"/>
    <w:semiHidden/>
    <w:unhideWhenUsed/>
    <w:rsid w:val="00031F35"/>
    <w:rPr>
      <w:color w:val="605E5C"/>
      <w:shd w:val="clear" w:color="auto" w:fill="E1DFDD"/>
    </w:rPr>
  </w:style>
  <w:style w:type="paragraph" w:styleId="Encabezado">
    <w:name w:val="header"/>
    <w:basedOn w:val="Normal"/>
    <w:link w:val="EncabezadoCar"/>
    <w:uiPriority w:val="99"/>
    <w:unhideWhenUsed/>
    <w:rsid w:val="00A003DD"/>
    <w:pPr>
      <w:tabs>
        <w:tab w:val="center" w:pos="4252"/>
        <w:tab w:val="right" w:pos="8504"/>
      </w:tabs>
    </w:pPr>
  </w:style>
  <w:style w:type="character" w:customStyle="1" w:styleId="EncabezadoCar">
    <w:name w:val="Encabezado Car"/>
    <w:basedOn w:val="Fuentedeprrafopredeter"/>
    <w:link w:val="Encabezado"/>
    <w:uiPriority w:val="99"/>
    <w:rsid w:val="00A003DD"/>
  </w:style>
  <w:style w:type="character" w:customStyle="1" w:styleId="Ttulo3Car">
    <w:name w:val="Título 3 Car"/>
    <w:basedOn w:val="Fuentedeprrafopredeter"/>
    <w:link w:val="Ttulo3"/>
    <w:uiPriority w:val="9"/>
    <w:rsid w:val="00B514B4"/>
    <w:rPr>
      <w:rFonts w:ascii="Times New Roman" w:eastAsia="Times New Roman" w:hAnsi="Times New Roman" w:cs="Times New Roman"/>
      <w:b/>
      <w:bCs/>
      <w:sz w:val="27"/>
      <w:szCs w:val="27"/>
      <w:lang w:eastAsia="es-PE"/>
    </w:rPr>
  </w:style>
  <w:style w:type="character" w:customStyle="1" w:styleId="Ttulo1Car">
    <w:name w:val="Título 1 Car"/>
    <w:basedOn w:val="Fuentedeprrafopredeter"/>
    <w:link w:val="Ttulo1"/>
    <w:uiPriority w:val="9"/>
    <w:rsid w:val="00016BA9"/>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39"/>
    <w:rsid w:val="009D60F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E25AA2"/>
    <w:rPr>
      <w:rFonts w:asciiTheme="majorHAnsi" w:eastAsiaTheme="majorEastAsia" w:hAnsiTheme="majorHAnsi" w:cstheme="majorBidi"/>
      <w:i/>
      <w:iCs/>
      <w:color w:val="2F5496" w:themeColor="accent1" w:themeShade="BF"/>
    </w:rPr>
  </w:style>
  <w:style w:type="paragraph" w:styleId="Sangradetextonormal">
    <w:name w:val="Body Text Indent"/>
    <w:basedOn w:val="Normal"/>
    <w:link w:val="SangradetextonormalCar"/>
    <w:uiPriority w:val="99"/>
    <w:semiHidden/>
    <w:unhideWhenUsed/>
    <w:rsid w:val="00E25AA2"/>
    <w:pPr>
      <w:spacing w:after="120"/>
      <w:ind w:left="283"/>
    </w:pPr>
  </w:style>
  <w:style w:type="character" w:customStyle="1" w:styleId="SangradetextonormalCar">
    <w:name w:val="Sangría de texto normal Car"/>
    <w:basedOn w:val="Fuentedeprrafopredeter"/>
    <w:link w:val="Sangradetextonormal"/>
    <w:uiPriority w:val="99"/>
    <w:semiHidden/>
    <w:rsid w:val="00E25AA2"/>
  </w:style>
  <w:style w:type="paragraph" w:styleId="Sangra2detindependiente">
    <w:name w:val="Body Text Indent 2"/>
    <w:basedOn w:val="Normal"/>
    <w:link w:val="Sangra2detindependienteCar"/>
    <w:uiPriority w:val="99"/>
    <w:semiHidden/>
    <w:unhideWhenUsed/>
    <w:rsid w:val="00E25AA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25AA2"/>
  </w:style>
  <w:style w:type="character" w:customStyle="1" w:styleId="Ttulo2Car">
    <w:name w:val="Título 2 Car"/>
    <w:basedOn w:val="Fuentedeprrafopredeter"/>
    <w:link w:val="Ttulo2"/>
    <w:uiPriority w:val="9"/>
    <w:semiHidden/>
    <w:rsid w:val="001921B5"/>
    <w:rPr>
      <w:rFonts w:asciiTheme="majorHAnsi" w:eastAsiaTheme="majorEastAsia" w:hAnsiTheme="majorHAnsi" w:cstheme="majorBidi"/>
      <w:color w:val="2F5496"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134303949">
      <w:bodyDiv w:val="1"/>
      <w:marLeft w:val="0"/>
      <w:marRight w:val="0"/>
      <w:marTop w:val="0"/>
      <w:marBottom w:val="0"/>
      <w:divBdr>
        <w:top w:val="none" w:sz="0" w:space="0" w:color="auto"/>
        <w:left w:val="none" w:sz="0" w:space="0" w:color="auto"/>
        <w:bottom w:val="none" w:sz="0" w:space="0" w:color="auto"/>
        <w:right w:val="none" w:sz="0" w:space="0" w:color="auto"/>
      </w:divBdr>
    </w:div>
    <w:div w:id="595140595">
      <w:bodyDiv w:val="1"/>
      <w:marLeft w:val="0"/>
      <w:marRight w:val="0"/>
      <w:marTop w:val="0"/>
      <w:marBottom w:val="0"/>
      <w:divBdr>
        <w:top w:val="none" w:sz="0" w:space="0" w:color="auto"/>
        <w:left w:val="none" w:sz="0" w:space="0" w:color="auto"/>
        <w:bottom w:val="none" w:sz="0" w:space="0" w:color="auto"/>
        <w:right w:val="none" w:sz="0" w:space="0" w:color="auto"/>
      </w:divBdr>
    </w:div>
    <w:div w:id="120371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repositorio.uancv.edu.pe/bitstream/handle/UANCV/5792/T036_29726602_D.pdf?sequence=1&amp;isAllow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sisenred.net/handle/10803/6677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bug.ugr.es/bitstream/handle/10481/53584/29106187.pdf?sequence=4&amp;isAllowed=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positorio.upla.edu.pe/bitstream/handle/20.500.12848/2785/T037_80073922_M.pdf?sequence=1&amp;isAllowed=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ORT03</b:Tag>
    <b:SourceType>Book</b:SourceType>
    <b:Guid>{CC0C3C56-7FD8-456B-879A-89000622F0B3}</b:Guid>
    <b:Title>Estado y Ejercicio Constitucional</b:Title>
    <b:Year>2003</b:Year>
    <b:City>Lima</b:City>
    <b:Publisher>Marsol Perú Editores S.A.</b:Publisher>
    <b:Author>
      <b:Author>
        <b:NameList>
          <b:Person>
            <b:Last>ORTECHO VILLENA</b:Last>
            <b:First>Víctor</b:First>
          </b:Person>
        </b:NameList>
      </b:Author>
    </b:Author>
    <b:RefOrder>1</b:RefOrder>
  </b:Source>
  <b:Source>
    <b:Tag>CHI07</b:Tag>
    <b:SourceType>Book</b:SourceType>
    <b:Guid>{E5F55710-C7C1-4E97-AAAB-CDCD258C7001}</b:Guid>
    <b:Title>La Constitución: Lectura y comentario</b:Title>
    <b:Year>2007</b:Year>
    <b:City>Lima</b:City>
    <b:Publisher>Editorial Rodhas SAC</b:Publisher>
    <b:Author>
      <b:Author>
        <b:NameList>
          <b:Person>
            <b:Last>Chrinos Soto</b:Last>
            <b:First>Enrique</b:First>
          </b:Person>
          <b:Person>
            <b:Last>Chirinos Soto</b:Last>
            <b:First>Francisco</b:First>
          </b:Person>
        </b:NameList>
      </b:Author>
    </b:Author>
    <b:RefOrder>2</b:RefOrder>
  </b:Source>
  <b:Source>
    <b:Tag>GAR08</b:Tag>
    <b:SourceType>Book</b:SourceType>
    <b:Guid>{A098073E-2DBF-4926-8748-83EF5E4AD725}</b:Guid>
    <b:Title>Acusación Constitucional y Debido Proceso</b:Title>
    <b:Year>2008</b:Year>
    <b:City>Lima</b:City>
    <b:Publisher>Jurista Editores</b:Publisher>
    <b:Author>
      <b:Author>
        <b:NameList>
          <b:Person>
            <b:Last>García Chávarri</b:Last>
            <b:First>Abraham</b:First>
          </b:Person>
        </b:NameList>
      </b:Author>
    </b:Author>
    <b:RefOrder>3</b:RefOrder>
  </b:Source>
  <b:Source>
    <b:Tag>PUL15</b:Tag>
    <b:SourceType>JournalArticle</b:SourceType>
    <b:Guid>{CF49B787-3C0F-4999-8B9E-5FE0A5DBBAE4}</b:Guid>
    <b:Title>Ceremonial y Protocolo: métodos y técnicas de investigación científica</b:Title>
    <b:Year>2015</b:Year>
    <b:Author>
      <b:Author>
        <b:NameList>
          <b:Person>
            <b:Last>Pulido Polo</b:Last>
            <b:First>Marta</b:First>
          </b:Person>
        </b:NameList>
      </b:Author>
    </b:Author>
    <b:JournalName>Redalyc.org</b:JournalName>
    <b:Pages>1137-1156</b:Pages>
    <b:YearAccessed>2019</b:YearAccessed>
    <b:MonthAccessed>Julio</b:MonthAccessed>
    <b:DayAccessed>24</b:DayAccessed>
    <b:URL>&lt;https://www.redalyc.org/pdf/310/31043005061.pdf&gt;</b:URL>
    <b:RefOrder>4</b:RefOrder>
  </b:Source>
  <b:Source>
    <b:Tag>CHÁ08</b:Tag>
    <b:SourceType>DocumentFromInternetSite</b:SourceType>
    <b:Guid>{EC2F5163-7889-437B-95B7-6F8FB6A39442}</b:Guid>
    <b:Title>Conceptos y técnicas de Recolección de Datos en la Investigación Jurídico Social</b:Title>
    <b:Year>2008</b:Year>
    <b:URL>&lt;https://www.unifr.ch/ddp1/derechopenal/articulos/a_20080521_56.pdf&gt;</b:URL>
    <b:Author>
      <b:Author>
        <b:NameList>
          <b:Person>
            <b:Last>Chávez</b:Last>
            <b:First>Dennis</b:First>
          </b:Person>
        </b:NameList>
      </b:Author>
    </b:Author>
    <b:YearAccessed>2019</b:YearAccessed>
    <b:MonthAccessed>Julio</b:MonthAccessed>
    <b:DayAccessed>25</b:DayAccessed>
    <b:RefOrder>5</b:RefOrder>
  </b:Source>
</b:Sources>
</file>

<file path=customXml/itemProps1.xml><?xml version="1.0" encoding="utf-8"?>
<ds:datastoreItem xmlns:ds="http://schemas.openxmlformats.org/officeDocument/2006/customXml" ds:itemID="{8E625B45-962F-4577-BF02-B2A5441D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3707</Words>
  <Characters>20391</Characters>
  <Application>Microsoft Office Word</Application>
  <DocSecurity>0</DocSecurity>
  <Lines>169</Lines>
  <Paragraphs>48</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    Contrastación de la hipótesis.</vt:lpstr>
      <vt:lpstr>        Hipótesis General</vt:lpstr>
      <vt:lpstr>        Hipótesis específica N 1</vt:lpstr>
      <vt:lpstr>        Hipótesis específica N 2</vt:lpstr>
    </vt:vector>
  </TitlesOfParts>
  <Company/>
  <LinksUpToDate>false</LinksUpToDate>
  <CharactersWithSpaces>24050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Alejandro</cp:lastModifiedBy>
  <cp:revision>3</cp:revision>
  <cp:lastPrinted>2021-12-16T03:55:00Z</cp:lastPrinted>
  <dcterms:created xsi:type="dcterms:W3CDTF">2022-05-05T16:39:00Z</dcterms:created>
  <dcterms:modified xsi:type="dcterms:W3CDTF">2022-05-11T16:42:00Z</dcterms:modified>
</cp:coreProperties>
</file>